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BF" w:rsidRPr="004E5BE1" w:rsidRDefault="004847BF" w:rsidP="004E5BE1">
      <w:pPr>
        <w:jc w:val="both"/>
        <w:rPr>
          <w:rFonts w:ascii="Verdana" w:hAnsi="Verdana"/>
          <w:sz w:val="22"/>
          <w:szCs w:val="22"/>
        </w:rPr>
      </w:pPr>
    </w:p>
    <w:p w:rsidR="004847BF" w:rsidRPr="00AD64C5" w:rsidRDefault="004847BF" w:rsidP="004E5BE1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sz w:val="32"/>
          <w:szCs w:val="32"/>
        </w:rPr>
      </w:pPr>
      <w:r w:rsidRPr="00AD64C5">
        <w:rPr>
          <w:rFonts w:ascii="Verdana" w:hAnsi="Verdana" w:cs="Verdana-Bold"/>
          <w:b/>
          <w:bCs/>
          <w:sz w:val="32"/>
          <w:szCs w:val="32"/>
        </w:rPr>
        <w:t>Rapporto Osservasalute 201</w:t>
      </w:r>
      <w:r>
        <w:rPr>
          <w:rFonts w:ascii="Verdana" w:hAnsi="Verdana" w:cs="Verdana-Bold"/>
          <w:b/>
          <w:bCs/>
          <w:sz w:val="32"/>
          <w:szCs w:val="32"/>
        </w:rPr>
        <w:t>3</w:t>
      </w:r>
    </w:p>
    <w:p w:rsidR="004847BF" w:rsidRPr="00AD64C5" w:rsidRDefault="004847BF" w:rsidP="004E5BE1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sz w:val="32"/>
          <w:szCs w:val="32"/>
        </w:rPr>
      </w:pPr>
      <w:r w:rsidRPr="00AD64C5">
        <w:rPr>
          <w:rFonts w:ascii="Verdana" w:hAnsi="Verdana" w:cs="Verdana-Bold"/>
          <w:b/>
          <w:bCs/>
          <w:sz w:val="32"/>
          <w:szCs w:val="32"/>
        </w:rPr>
        <w:t>“Atlante” della salute nelle Regioni italiane</w:t>
      </w:r>
    </w:p>
    <w:p w:rsidR="004847BF" w:rsidRPr="00AD64C5" w:rsidRDefault="004847BF" w:rsidP="004E5BE1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sz w:val="32"/>
          <w:szCs w:val="32"/>
        </w:rPr>
      </w:pPr>
      <w:r w:rsidRPr="00AD64C5">
        <w:rPr>
          <w:rFonts w:ascii="Verdana" w:hAnsi="Verdana" w:cs="Verdana-Bold"/>
          <w:b/>
          <w:bCs/>
          <w:sz w:val="32"/>
          <w:szCs w:val="32"/>
        </w:rPr>
        <w:t>La migliore performance Regione per Regione</w:t>
      </w:r>
    </w:p>
    <w:p w:rsidR="004847BF" w:rsidRPr="004E5BE1" w:rsidRDefault="004847BF" w:rsidP="004E5BE1">
      <w:pPr>
        <w:autoSpaceDE w:val="0"/>
        <w:autoSpaceDN w:val="0"/>
        <w:adjustRightInd w:val="0"/>
        <w:jc w:val="both"/>
        <w:rPr>
          <w:rFonts w:ascii="Verdana" w:hAnsi="Verdana" w:cs="Verdana-Bold"/>
          <w:b/>
          <w:bCs/>
          <w:sz w:val="22"/>
          <w:szCs w:val="22"/>
        </w:rPr>
      </w:pPr>
    </w:p>
    <w:p w:rsidR="004847BF" w:rsidRPr="004E5BE1" w:rsidRDefault="004847BF" w:rsidP="004E5BE1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4E5BE1" w:rsidRDefault="004847BF" w:rsidP="004E5BE1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Piemonte: la Regione con il tasso maggiore di gravidanze con procreazione assistita</w:t>
      </w:r>
    </w:p>
    <w:p w:rsidR="004847BF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La Regione con la più alta percentuale di donne con consumi alcolici a rischio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Il Piemonte è la </w:t>
      </w:r>
      <w:r w:rsidRPr="000C5E54">
        <w:rPr>
          <w:rFonts w:ascii="Verdana" w:hAnsi="Verdana"/>
          <w:sz w:val="22"/>
          <w:szCs w:val="22"/>
        </w:rPr>
        <w:t>Regione che</w:t>
      </w:r>
      <w:r w:rsidRPr="000C5E54">
        <w:rPr>
          <w:rFonts w:ascii="Arial" w:hAnsi="Arial" w:cs="Arial"/>
          <w:sz w:val="20"/>
          <w:szCs w:val="20"/>
        </w:rPr>
        <w:t xml:space="preserve"> </w:t>
      </w:r>
      <w:r w:rsidRPr="000C5E54">
        <w:rPr>
          <w:rFonts w:ascii="Verdana" w:hAnsi="Verdana" w:cs="Arial"/>
          <w:sz w:val="22"/>
          <w:szCs w:val="22"/>
        </w:rPr>
        <w:t>presenta il maggior t</w:t>
      </w:r>
      <w:r w:rsidRPr="000C5E54">
        <w:rPr>
          <w:rFonts w:ascii="Verdana" w:hAnsi="Verdana"/>
          <w:sz w:val="22"/>
          <w:szCs w:val="22"/>
        </w:rPr>
        <w:t>asso</w:t>
      </w:r>
      <w:r w:rsidRPr="00E3568B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 xml:space="preserve">di gravidanze per 100 cicli con </w:t>
      </w:r>
      <w:r w:rsidRPr="00E3568B">
        <w:rPr>
          <w:rFonts w:ascii="Verdana" w:hAnsi="Verdana"/>
          <w:color w:val="000000"/>
          <w:sz w:val="22"/>
          <w:szCs w:val="22"/>
        </w:rPr>
        <w:t>tecniche di Procreazione Medicalmente Assistita (PM</w:t>
      </w:r>
      <w:r>
        <w:rPr>
          <w:rFonts w:ascii="Verdana" w:hAnsi="Verdana"/>
          <w:color w:val="000000"/>
          <w:sz w:val="22"/>
          <w:szCs w:val="22"/>
        </w:rPr>
        <w:t xml:space="preserve">A), ovvero un tasso di successo </w:t>
      </w:r>
      <w:r w:rsidRPr="00E3568B">
        <w:rPr>
          <w:rFonts w:ascii="Verdana" w:hAnsi="Verdana"/>
          <w:color w:val="000000"/>
          <w:sz w:val="22"/>
          <w:szCs w:val="22"/>
        </w:rPr>
        <w:t>del 25,8%.</w:t>
      </w:r>
    </w:p>
    <w:p w:rsidR="004847BF" w:rsidRPr="00E3568B" w:rsidRDefault="004847BF" w:rsidP="000C5E54">
      <w:pPr>
        <w:pStyle w:val="Testocommento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In negativo, invece, si segnala che il Piemonte è la Regione dove si registra la maggior percentuale di donne di 19-64 anni (2,7%) che eccede i consumi</w:t>
      </w:r>
      <w:r>
        <w:rPr>
          <w:rFonts w:ascii="Verdana" w:hAnsi="Verdana"/>
          <w:sz w:val="22"/>
          <w:szCs w:val="22"/>
        </w:rPr>
        <w:t xml:space="preserve"> di alcolici raccomandati (dati </w:t>
      </w:r>
      <w:r w:rsidRPr="00E3568B">
        <w:rPr>
          <w:rFonts w:ascii="Verdana" w:hAnsi="Verdana"/>
          <w:sz w:val="22"/>
          <w:szCs w:val="22"/>
        </w:rPr>
        <w:t>a</w:t>
      </w:r>
      <w:r>
        <w:rPr>
          <w:rFonts w:ascii="Verdana" w:hAnsi="Verdana"/>
          <w:sz w:val="22"/>
          <w:szCs w:val="22"/>
        </w:rPr>
        <w:t xml:space="preserve">nno </w:t>
      </w:r>
      <w:r w:rsidRPr="00E3568B">
        <w:rPr>
          <w:rFonts w:ascii="Verdana" w:hAnsi="Verdana"/>
          <w:sz w:val="22"/>
          <w:szCs w:val="22"/>
        </w:rPr>
        <w:t>2011).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Le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attuali</w:t>
      </w:r>
      <w:r>
        <w:rPr>
          <w:rFonts w:ascii="Verdana" w:hAnsi="Verdana"/>
          <w:sz w:val="22"/>
          <w:szCs w:val="22"/>
        </w:rPr>
        <w:t xml:space="preserve"> Linee </w:t>
      </w:r>
      <w:r w:rsidRPr="00E3568B">
        <w:rPr>
          <w:rFonts w:ascii="Verdana" w:hAnsi="Verdana"/>
          <w:sz w:val="22"/>
          <w:szCs w:val="22"/>
        </w:rPr>
        <w:t>Guida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per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una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sana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alimentazione dell’Istituto Nazionale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di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Ricerca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per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gli</w:t>
      </w:r>
      <w:r>
        <w:rPr>
          <w:rFonts w:ascii="Verdana" w:hAnsi="Verdana"/>
          <w:sz w:val="22"/>
          <w:szCs w:val="22"/>
        </w:rPr>
        <w:t xml:space="preserve"> Alimenti e la </w:t>
      </w:r>
      <w:r w:rsidRPr="00E3568B">
        <w:rPr>
          <w:rFonts w:ascii="Verdana" w:hAnsi="Verdana"/>
          <w:sz w:val="22"/>
          <w:szCs w:val="22"/>
        </w:rPr>
        <w:t>Nutrizione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considerano</w:t>
      </w:r>
      <w:r>
        <w:rPr>
          <w:rFonts w:ascii="Verdana" w:hAnsi="Verdana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a rischio le donne c</w:t>
      </w:r>
      <w:r>
        <w:rPr>
          <w:rFonts w:ascii="Verdana" w:hAnsi="Verdana"/>
          <w:sz w:val="22"/>
          <w:szCs w:val="22"/>
        </w:rPr>
        <w:t>he consumanopiùdi</w:t>
      </w:r>
      <w:r w:rsidRPr="00E3568B">
        <w:rPr>
          <w:rFonts w:ascii="Verdana" w:hAnsi="Verdana"/>
          <w:sz w:val="22"/>
          <w:szCs w:val="22"/>
        </w:rPr>
        <w:t>20grammidi alcol al giorno (1-2 Unità Alcoliche).</w:t>
      </w: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Valle d’Aosta: la Regione con meno fumatori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è la Regione dove risiedono più anziani soli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Valle d’Aosta è </w:t>
      </w:r>
      <w:smartTag w:uri="urn:schemas-microsoft-com:office:smarttags" w:element="PersonName">
        <w:smartTagPr>
          <w:attr w:name="ProductID" w:val="la Regione"/>
        </w:smartTagPr>
        <w:r w:rsidRPr="00E3568B">
          <w:rPr>
            <w:rFonts w:ascii="Verdana" w:hAnsi="Verdana"/>
            <w:sz w:val="22"/>
            <w:szCs w:val="22"/>
          </w:rPr>
          <w:t>la Regione</w:t>
        </w:r>
      </w:smartTag>
      <w:r w:rsidRPr="00E3568B">
        <w:rPr>
          <w:rFonts w:ascii="Verdana" w:hAnsi="Verdana"/>
          <w:sz w:val="22"/>
          <w:szCs w:val="22"/>
        </w:rPr>
        <w:t xml:space="preserve"> con meno fumatori:</w:t>
      </w:r>
      <w:r w:rsidRPr="00E3568B">
        <w:rPr>
          <w:rFonts w:ascii="Verdana" w:hAnsi="Verdana" w:cs="TimesNewRomanPSMT"/>
          <w:sz w:val="22"/>
          <w:szCs w:val="22"/>
        </w:rPr>
        <w:t xml:space="preserve"> sono il 15,5% della popolazione regionale </w:t>
      </w:r>
      <w:r w:rsidRPr="00E3568B">
        <w:rPr>
          <w:rFonts w:ascii="Verdana" w:hAnsi="Verdana"/>
          <w:sz w:val="22"/>
          <w:szCs w:val="22"/>
        </w:rPr>
        <w:t xml:space="preserve">di 14 anni e oltre (media nazionale </w:t>
      </w:r>
      <w:r w:rsidRPr="00E3568B">
        <w:rPr>
          <w:rFonts w:ascii="Verdana" w:hAnsi="Verdana" w:cs="TimesNewRomanPS-BoldMT-OTF"/>
          <w:bCs/>
          <w:sz w:val="22"/>
          <w:szCs w:val="22"/>
        </w:rPr>
        <w:t>21,9</w:t>
      </w:r>
      <w:r w:rsidRPr="00E3568B">
        <w:rPr>
          <w:rFonts w:ascii="Verdana" w:hAnsi="Verdana"/>
          <w:sz w:val="22"/>
          <w:szCs w:val="22"/>
        </w:rPr>
        <w:t>%</w:t>
      </w:r>
      <w:r w:rsidRPr="00E3568B">
        <w:rPr>
          <w:rFonts w:ascii="Verdana" w:hAnsi="Verdana" w:cs="TimesNewRomanPSMT"/>
          <w:sz w:val="22"/>
          <w:szCs w:val="22"/>
        </w:rPr>
        <w:t xml:space="preserve"> - dati anno 2012</w:t>
      </w:r>
      <w:r w:rsidRPr="00E3568B">
        <w:rPr>
          <w:rFonts w:ascii="Verdana" w:hAnsi="Verdana"/>
          <w:sz w:val="22"/>
          <w:szCs w:val="22"/>
        </w:rPr>
        <w:t>).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Ma in Valle d’Aosta si registrano le percentuali magiori per maschi e femmine over-65 che vivono soli, per quanto in assenza di limitazioni fisiche che rendono complicate le attività quotidiane anche più semplici come lavarsi o cucinare (dati anno 2011): sono il 31,57%</w:t>
      </w:r>
      <w:r w:rsidRPr="00E3568B">
        <w:rPr>
          <w:rFonts w:ascii="Verdana" w:hAnsi="Verdana"/>
          <w:color w:val="FF0000"/>
          <w:sz w:val="22"/>
          <w:szCs w:val="22"/>
        </w:rPr>
        <w:t xml:space="preserve"> </w:t>
      </w:r>
      <w:r w:rsidRPr="00E3568B">
        <w:rPr>
          <w:rFonts w:ascii="Verdana" w:hAnsi="Verdana"/>
          <w:sz w:val="22"/>
          <w:szCs w:val="22"/>
        </w:rPr>
        <w:t>dei maschi e il 43,62% delle femmine (valori medi nazionali: 16,02% dei maschi e il 35,39% delle femmine).</w:t>
      </w: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Lombardia: la Regione col personale sanitario più giovane</w:t>
      </w:r>
    </w:p>
    <w:p w:rsidR="004847BF" w:rsidRPr="00551A91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dove si verificano più incidenti stradali </w:t>
      </w:r>
    </w:p>
    <w:p w:rsidR="004847BF" w:rsidRPr="00551A91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551A91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551A91">
        <w:rPr>
          <w:rFonts w:ascii="Verdana" w:hAnsi="Verdana"/>
          <w:sz w:val="22"/>
          <w:szCs w:val="22"/>
        </w:rPr>
        <w:t xml:space="preserve">La Lombardia è la Regione che presenta la più elevata percentuale di dipendenti del Ssn di età minore di 30 anni, infatti sul complesso di tutti gli under-30 che sono in forza al Ssn </w:t>
      </w:r>
      <w:r w:rsidRPr="00551A91">
        <w:rPr>
          <w:rFonts w:ascii="Verdana" w:hAnsi="Verdana"/>
          <w:bCs/>
          <w:sz w:val="22"/>
          <w:szCs w:val="22"/>
        </w:rPr>
        <w:t xml:space="preserve">in Italia (in tutto 20191 individui), 4559 di questi lavorano in Lombardia, ovvero il </w:t>
      </w:r>
      <w:r w:rsidRPr="00551A91">
        <w:rPr>
          <w:rFonts w:ascii="Verdana" w:hAnsi="Verdana"/>
          <w:sz w:val="22"/>
          <w:szCs w:val="22"/>
        </w:rPr>
        <w:t>22,6% di tutti gli under-30 assunti dal Ssn nel Bel Paese.</w:t>
      </w:r>
    </w:p>
    <w:p w:rsidR="004847BF" w:rsidRPr="00551A91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</w:p>
    <w:p w:rsidR="004847BF" w:rsidRPr="00551A91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551A91">
        <w:rPr>
          <w:rFonts w:ascii="Verdana" w:hAnsi="Verdana"/>
          <w:sz w:val="22"/>
          <w:szCs w:val="22"/>
        </w:rPr>
        <w:t>La Lombardia è, però, la Regione dove si verificano più incidenti stradali: sono 35.398 quelli registrati nel 2012.</w:t>
      </w:r>
    </w:p>
    <w:p w:rsidR="004847BF" w:rsidRPr="00A27770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b/>
          <w:sz w:val="22"/>
          <w:szCs w:val="22"/>
          <w:u w:val="single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ItalicMT"/>
          <w:b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PA di Bolzano: dove vivono bambini e ragazzi più magri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la provincia autonoma continua a registrare la quota maggiore di consumatori di alcolici</w:t>
      </w:r>
    </w:p>
    <w:p w:rsidR="004847BF" w:rsidRPr="003312EE" w:rsidRDefault="004847BF" w:rsidP="000C5E54">
      <w:pPr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PA di Bolzano è dove vivono i bambini e ragazzi più magri: </w:t>
      </w:r>
      <w:r w:rsidRPr="00E3568B">
        <w:rPr>
          <w:rFonts w:ascii="Verdana" w:hAnsi="Verdana" w:cs="TimesNewRomanPSMT"/>
          <w:sz w:val="22"/>
          <w:szCs w:val="22"/>
        </w:rPr>
        <w:t xml:space="preserve">infatti risulta </w:t>
      </w:r>
      <w:r w:rsidRPr="00E3568B">
        <w:rPr>
          <w:rFonts w:ascii="Verdana" w:hAnsi="Verdana"/>
          <w:sz w:val="22"/>
          <w:szCs w:val="22"/>
        </w:rPr>
        <w:t>in eccesso di peso (sovrappeso o obesi) il 12,2% dei minori di 6-17 anni – percentuale minore in Italia, contro un valore medio nazionale di 26,9%.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nella PA di Bolzano si registra anche in questa edizione del Rapporto la percentuale maggiore di consumatori di alcolici: nel 2011 la PA presenta una quota di non consumatori pari al </w:t>
      </w:r>
      <w:r w:rsidRPr="00E3568B">
        <w:rPr>
          <w:rFonts w:ascii="Verdana" w:hAnsi="Verdana" w:cs="TimesNewRomanPSMT"/>
          <w:sz w:val="22"/>
          <w:szCs w:val="22"/>
        </w:rPr>
        <w:t>24,6% - la minore in Italia,</w:t>
      </w:r>
      <w:r w:rsidRPr="00E3568B">
        <w:rPr>
          <w:rFonts w:ascii="Verdana" w:hAnsi="Verdana"/>
          <w:sz w:val="22"/>
          <w:szCs w:val="22"/>
        </w:rPr>
        <w:t xml:space="preserve"> a fronte di un valore medio nazionale del </w:t>
      </w:r>
      <w:r w:rsidRPr="00E3568B">
        <w:rPr>
          <w:rFonts w:ascii="Verdana" w:hAnsi="Verdana" w:cs="TimesNewRomanPS-BoldMT-OTF"/>
          <w:bCs/>
          <w:sz w:val="22"/>
          <w:szCs w:val="22"/>
        </w:rPr>
        <w:t>33,6</w:t>
      </w:r>
      <w:r w:rsidRPr="00E3568B">
        <w:rPr>
          <w:rFonts w:ascii="Verdana" w:hAnsi="Verdana"/>
          <w:sz w:val="22"/>
          <w:szCs w:val="22"/>
        </w:rPr>
        <w:t xml:space="preserve">%. I consumatori sono il </w:t>
      </w:r>
      <w:r w:rsidRPr="00E3568B">
        <w:rPr>
          <w:rFonts w:ascii="Verdana" w:hAnsi="Verdana" w:cs="TimesNewRomanPSMT"/>
          <w:sz w:val="22"/>
          <w:szCs w:val="22"/>
        </w:rPr>
        <w:t>72</w:t>
      </w:r>
      <w:r w:rsidRPr="00E3568B">
        <w:rPr>
          <w:rFonts w:ascii="Verdana" w:hAnsi="Verdana"/>
          <w:sz w:val="22"/>
          <w:szCs w:val="22"/>
        </w:rPr>
        <w:t xml:space="preserve">% </w:t>
      </w:r>
      <w:r w:rsidRPr="00E3568B">
        <w:rPr>
          <w:rFonts w:ascii="Verdana" w:hAnsi="Verdana" w:cs="TimesNewRomanPSMT"/>
          <w:sz w:val="22"/>
          <w:szCs w:val="22"/>
        </w:rPr>
        <w:t>- la maggiore in Italia</w:t>
      </w:r>
      <w:r w:rsidRPr="00E3568B">
        <w:rPr>
          <w:rFonts w:ascii="Verdana" w:hAnsi="Verdana"/>
          <w:sz w:val="22"/>
          <w:szCs w:val="22"/>
        </w:rPr>
        <w:t xml:space="preserve">, a fronte di un valore medio nazionale del </w:t>
      </w:r>
      <w:r w:rsidRPr="00E3568B">
        <w:rPr>
          <w:rFonts w:ascii="Verdana" w:hAnsi="Verdana" w:cs="TimesNewRomanPS-BoldMT-OTF"/>
          <w:bCs/>
          <w:sz w:val="22"/>
          <w:szCs w:val="22"/>
        </w:rPr>
        <w:t>65</w:t>
      </w:r>
      <w:r w:rsidRPr="00E3568B">
        <w:rPr>
          <w:rFonts w:ascii="Verdana" w:hAnsi="Verdana"/>
          <w:sz w:val="22"/>
          <w:szCs w:val="22"/>
        </w:rPr>
        <w:t>%.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PA di Trento: dove vivono le donne più longeve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è dove ancora non si usa il web per comunicare coi pazienti</w:t>
      </w:r>
    </w:p>
    <w:p w:rsidR="004847BF" w:rsidRPr="00E3568B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PA di Trento è dove vivono le donne più longeve d’Italia: </w:t>
      </w:r>
      <w:r w:rsidRPr="00E3568B">
        <w:rPr>
          <w:rFonts w:ascii="Verdana" w:hAnsi="Verdana" w:cs="TimesNewRomanPSMT"/>
          <w:sz w:val="22"/>
          <w:szCs w:val="22"/>
        </w:rPr>
        <w:t>la speranza di vita alla nascita è pari a 85,5 anni – la maggiore in Italia (valore medio italiano 84,5)</w:t>
      </w:r>
      <w:r w:rsidRPr="00E3568B">
        <w:rPr>
          <w:rFonts w:ascii="Verdana" w:hAnsi="Verdana"/>
          <w:sz w:val="22"/>
          <w:szCs w:val="22"/>
        </w:rPr>
        <w:t>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nella PA di Trento non si usano ancora canali web 2.0 per </w:t>
      </w:r>
      <w:r w:rsidRPr="00E3568B">
        <w:rPr>
          <w:rFonts w:ascii="Verdana" w:hAnsi="Verdana" w:cs="TimesNewRomanPSMT"/>
          <w:sz w:val="22"/>
          <w:szCs w:val="22"/>
        </w:rPr>
        <w:t>incontrare e comunicare con il cittadino-utente, infatti l’unica Asl presente non utilizza nessun canale web (Twitter, Youtube, Facebook etc) per comunicare coi cittadini, a fronte di una media nazionale del 34% delle Asl</w:t>
      </w:r>
      <w:r w:rsidRPr="00E3568B">
        <w:rPr>
          <w:rFonts w:ascii="Verdana" w:hAnsi="Verdana"/>
          <w:sz w:val="22"/>
          <w:szCs w:val="22"/>
        </w:rPr>
        <w:t>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jc w:val="both"/>
        <w:rPr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Veneto: la Regione con la quota minore di ricoveri in regime ordinario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in cui i cittadini spendono di più di tasca propria per l’acquisto di farmaci </w:t>
      </w:r>
    </w:p>
    <w:p w:rsidR="004847BF" w:rsidRPr="00B921A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b/>
          <w:sz w:val="22"/>
          <w:szCs w:val="22"/>
        </w:rPr>
      </w:pPr>
    </w:p>
    <w:p w:rsidR="004847BF" w:rsidRPr="00B921A5" w:rsidRDefault="004847BF" w:rsidP="000C5E54">
      <w:pPr>
        <w:jc w:val="both"/>
        <w:rPr>
          <w:rFonts w:ascii="Verdana" w:hAnsi="Verdana" w:cs="TimesNewRomanPS-BoldMT"/>
          <w:bCs/>
          <w:sz w:val="22"/>
          <w:szCs w:val="22"/>
        </w:rPr>
      </w:pPr>
      <w:r w:rsidRPr="00B921A5">
        <w:rPr>
          <w:rFonts w:ascii="Verdana" w:hAnsi="Verdana"/>
          <w:sz w:val="22"/>
          <w:szCs w:val="22"/>
        </w:rPr>
        <w:t xml:space="preserve">Il Veneto è </w:t>
      </w:r>
      <w:smartTag w:uri="urn:schemas-microsoft-com:office:smarttags" w:element="PersonName">
        <w:smartTagPr>
          <w:attr w:name="ProductID" w:val="la Regione"/>
        </w:smartTagPr>
        <w:r w:rsidRPr="00B921A5">
          <w:rPr>
            <w:rFonts w:ascii="Verdana" w:hAnsi="Verdana"/>
            <w:sz w:val="22"/>
            <w:szCs w:val="22"/>
          </w:rPr>
          <w:t>la Regione</w:t>
        </w:r>
      </w:smartTag>
      <w:r w:rsidRPr="00B921A5">
        <w:rPr>
          <w:rFonts w:ascii="Verdana" w:hAnsi="Verdana"/>
          <w:sz w:val="22"/>
          <w:szCs w:val="22"/>
        </w:rPr>
        <w:t xml:space="preserve"> con la quota minore di ricoveri</w:t>
      </w:r>
      <w:r w:rsidRPr="00B921A5">
        <w:rPr>
          <w:rStyle w:val="Enfasigrassetto"/>
          <w:rFonts w:ascii="Verdana" w:hAnsi="Verdana"/>
          <w:sz w:val="22"/>
          <w:szCs w:val="22"/>
        </w:rPr>
        <w:t xml:space="preserve"> </w:t>
      </w:r>
      <w:r w:rsidRPr="00B921A5">
        <w:rPr>
          <w:rFonts w:ascii="Verdana" w:hAnsi="Verdana"/>
          <w:sz w:val="22"/>
          <w:szCs w:val="22"/>
        </w:rPr>
        <w:t>in r</w:t>
      </w:r>
      <w:r w:rsidRPr="00B921A5">
        <w:rPr>
          <w:rFonts w:ascii="Verdana" w:hAnsi="Verdana" w:cs="TimesNewRomanPS-BoldMT"/>
          <w:bCs/>
          <w:sz w:val="22"/>
          <w:szCs w:val="22"/>
        </w:rPr>
        <w:t>egime ordinario: infatti il</w:t>
      </w:r>
      <w:r w:rsidRPr="00B921A5">
        <w:rPr>
          <w:rFonts w:ascii="Verdana" w:hAnsi="Verdana"/>
          <w:sz w:val="22"/>
          <w:szCs w:val="22"/>
        </w:rPr>
        <w:t xml:space="preserve"> </w:t>
      </w:r>
      <w:r w:rsidRPr="00B921A5">
        <w:rPr>
          <w:rStyle w:val="Enfasigrassetto"/>
          <w:rFonts w:ascii="Verdana" w:hAnsi="Verdana"/>
          <w:sz w:val="22"/>
          <w:szCs w:val="22"/>
        </w:rPr>
        <w:t>t</w:t>
      </w:r>
      <w:r w:rsidRPr="00B921A5">
        <w:rPr>
          <w:rFonts w:ascii="Verdana" w:hAnsi="Verdana"/>
          <w:sz w:val="22"/>
          <w:szCs w:val="22"/>
        </w:rPr>
        <w:t>asso standardizzato di dimissioni ospedaliere per questo tipo di ricoveri</w:t>
      </w:r>
      <w:r w:rsidRPr="00B921A5">
        <w:rPr>
          <w:rFonts w:ascii="Verdana" w:hAnsi="Verdana" w:cs="TimesNewRomanPS-BoldMT"/>
          <w:bCs/>
          <w:sz w:val="22"/>
          <w:szCs w:val="22"/>
        </w:rPr>
        <w:t>,</w:t>
      </w:r>
      <w:r w:rsidRPr="00B921A5">
        <w:rPr>
          <w:rFonts w:ascii="Verdana" w:hAnsi="Verdana"/>
          <w:sz w:val="22"/>
          <w:szCs w:val="22"/>
        </w:rPr>
        <w:t xml:space="preserve"> </w:t>
      </w:r>
      <w:r w:rsidRPr="00B921A5">
        <w:rPr>
          <w:rFonts w:ascii="Verdana" w:hAnsi="Verdana" w:cs="TimesNewRomanPSMT"/>
          <w:sz w:val="22"/>
          <w:szCs w:val="22"/>
        </w:rPr>
        <w:t xml:space="preserve">pari a 103,9 </w:t>
      </w:r>
      <w:r w:rsidRPr="00B921A5">
        <w:rPr>
          <w:rStyle w:val="Enfasigrassetto"/>
          <w:rFonts w:ascii="Verdana" w:hAnsi="Verdana"/>
          <w:b w:val="0"/>
          <w:sz w:val="22"/>
          <w:szCs w:val="22"/>
        </w:rPr>
        <w:t>per 1.000</w:t>
      </w:r>
      <w:r w:rsidRPr="00B921A5">
        <w:rPr>
          <w:rFonts w:ascii="Verdana" w:hAnsi="Verdana" w:cs="TimesNewRomanPSMT"/>
          <w:sz w:val="22"/>
          <w:szCs w:val="22"/>
        </w:rPr>
        <w:t xml:space="preserve"> (2012)</w:t>
      </w:r>
      <w:r w:rsidRPr="00B921A5">
        <w:rPr>
          <w:rFonts w:ascii="Verdana" w:hAnsi="Verdana" w:cs="TimesNewRomanPS-BoldMT"/>
          <w:bCs/>
          <w:sz w:val="22"/>
          <w:szCs w:val="22"/>
        </w:rPr>
        <w:t xml:space="preserve"> risulta il minore d’Italia</w:t>
      </w:r>
      <w:r w:rsidRPr="00B921A5">
        <w:rPr>
          <w:rFonts w:ascii="Verdana" w:hAnsi="Verdana" w:cs="TimesNewRomanPSMT"/>
          <w:sz w:val="22"/>
          <w:szCs w:val="22"/>
        </w:rPr>
        <w:t xml:space="preserve">, a fronte di un </w:t>
      </w:r>
      <w:r w:rsidRPr="00B921A5">
        <w:rPr>
          <w:rFonts w:ascii="Verdana" w:hAnsi="Verdana" w:cs="TimesNewRomanPS-BoldMT"/>
          <w:sz w:val="22"/>
          <w:szCs w:val="22"/>
        </w:rPr>
        <w:t xml:space="preserve">valore medio italiano pari a </w:t>
      </w:r>
      <w:r w:rsidRPr="00B921A5">
        <w:rPr>
          <w:rFonts w:ascii="Verdana" w:hAnsi="Verdana" w:cs="TimesNewRomanPS-BoldMT-OTF"/>
          <w:bCs/>
          <w:sz w:val="22"/>
          <w:szCs w:val="22"/>
        </w:rPr>
        <w:t xml:space="preserve">120,3 </w:t>
      </w:r>
      <w:r w:rsidRPr="00B921A5">
        <w:rPr>
          <w:rStyle w:val="Enfasigrassetto"/>
          <w:rFonts w:ascii="Verdana" w:hAnsi="Verdana"/>
          <w:b w:val="0"/>
          <w:sz w:val="22"/>
          <w:szCs w:val="22"/>
        </w:rPr>
        <w:t>per 1.000</w:t>
      </w:r>
      <w:r w:rsidRPr="00B921A5">
        <w:rPr>
          <w:rStyle w:val="Enfasigrassetto"/>
          <w:rFonts w:ascii="Verdana" w:hAnsi="Verdana"/>
          <w:sz w:val="22"/>
          <w:szCs w:val="22"/>
        </w:rPr>
        <w:t>.</w:t>
      </w:r>
      <w:r w:rsidRPr="00B921A5">
        <w:rPr>
          <w:rFonts w:ascii="Verdana" w:hAnsi="Verdana"/>
          <w:sz w:val="22"/>
          <w:szCs w:val="22"/>
        </w:rPr>
        <w:t xml:space="preserve"> </w:t>
      </w:r>
      <w:r w:rsidRPr="00B921A5">
        <w:rPr>
          <w:rStyle w:val="Enfasigrassetto"/>
          <w:rFonts w:ascii="Verdana" w:hAnsi="Verdana"/>
          <w:b w:val="0"/>
          <w:sz w:val="22"/>
          <w:szCs w:val="22"/>
        </w:rPr>
        <w:t>Inoltre i</w:t>
      </w:r>
      <w:r w:rsidRPr="00B921A5">
        <w:rPr>
          <w:rFonts w:ascii="Verdana" w:hAnsi="Verdana" w:cs="TimesNewRomanPS-BoldMT"/>
          <w:sz w:val="22"/>
          <w:szCs w:val="22"/>
        </w:rPr>
        <w:t>l tasso standardizzato complessivo di dimissioni ospedaliere (ovvero in regime ordinario e in Day Hospital) è pari a 136,9 (valore minimo in Italia) per 1.000</w:t>
      </w:r>
      <w:r w:rsidRPr="00B921A5">
        <w:rPr>
          <w:rFonts w:ascii="Verdana" w:hAnsi="Verdana" w:cs="TimesNewRomanPSMT"/>
          <w:sz w:val="22"/>
          <w:szCs w:val="22"/>
        </w:rPr>
        <w:t>; il</w:t>
      </w:r>
      <w:r w:rsidRPr="00B921A5">
        <w:rPr>
          <w:rFonts w:ascii="Verdana" w:hAnsi="Verdana" w:cs="TimesNewRomanPS-BoldMT"/>
          <w:sz w:val="22"/>
          <w:szCs w:val="22"/>
        </w:rPr>
        <w:t xml:space="preserve"> valore medio nazionale è pari a </w:t>
      </w:r>
      <w:r w:rsidRPr="00B921A5">
        <w:rPr>
          <w:rFonts w:ascii="Verdana" w:hAnsi="Verdana" w:cs="TimesNewRomanPS-BoldMT-OTF"/>
          <w:bCs/>
          <w:sz w:val="22"/>
          <w:szCs w:val="22"/>
        </w:rPr>
        <w:t>163,5</w:t>
      </w:r>
      <w:r w:rsidRPr="00B921A5">
        <w:rPr>
          <w:rFonts w:ascii="Verdana" w:hAnsi="Verdana" w:cs="TimesNewRomanPS-BoldMT-OTF"/>
          <w:sz w:val="22"/>
          <w:szCs w:val="22"/>
        </w:rPr>
        <w:t xml:space="preserve"> </w:t>
      </w:r>
      <w:r w:rsidRPr="00B921A5">
        <w:rPr>
          <w:rFonts w:ascii="Verdana" w:hAnsi="Verdana" w:cs="TimesNewRomanPS-BoldMT"/>
          <w:bCs/>
          <w:sz w:val="22"/>
          <w:szCs w:val="22"/>
        </w:rPr>
        <w:t xml:space="preserve">per 1.000. </w:t>
      </w:r>
    </w:p>
    <w:p w:rsidR="004847BF" w:rsidRPr="00B921A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B921A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  <w:u w:val="single"/>
        </w:rPr>
      </w:pPr>
      <w:r w:rsidRPr="00B921A5">
        <w:rPr>
          <w:rFonts w:ascii="Verdana" w:hAnsi="Verdana"/>
          <w:sz w:val="22"/>
          <w:szCs w:val="22"/>
        </w:rPr>
        <w:t xml:space="preserve">Ma il Veneto è la Regione in cui i cittadini sono gravati dalla maggiore spesa per l’acquisto di farmaci, infatti il Veneto presenta </w:t>
      </w:r>
      <w:r w:rsidRPr="00B921A5">
        <w:rPr>
          <w:rFonts w:ascii="Verdana" w:hAnsi="Verdana" w:cs="Arial-BoldMT"/>
          <w:bCs/>
          <w:sz w:val="22"/>
          <w:szCs w:val="22"/>
        </w:rPr>
        <w:t>la più elevata spesa farmaceutica pro capite per ticket e compartecipazione in percentuale sul totale della spesa</w:t>
      </w:r>
      <w:r w:rsidRPr="00B921A5">
        <w:rPr>
          <w:rFonts w:ascii="Verdana" w:hAnsi="Verdana" w:cs="TimesNewRomanPSMT"/>
          <w:sz w:val="22"/>
          <w:szCs w:val="22"/>
        </w:rPr>
        <w:t>: in Veneto ogni cittadino spende di tasca propria il 15,2% della spesa pro capite totale (valore medio italiano 12,2%). L’indicatore</w:t>
      </w:r>
      <w:r w:rsidRPr="00B921A5">
        <w:rPr>
          <w:rFonts w:ascii="Verdana" w:hAnsi="Verdana" w:cs="Arial-BoldMT"/>
          <w:bCs/>
          <w:sz w:val="22"/>
          <w:szCs w:val="22"/>
        </w:rPr>
        <w:t xml:space="preserve"> </w:t>
      </w:r>
      <w:r w:rsidRPr="00B921A5">
        <w:rPr>
          <w:rFonts w:ascii="Verdana" w:hAnsi="Verdana" w:cs="TimesNewRomanPSMT"/>
          <w:sz w:val="22"/>
          <w:szCs w:val="22"/>
        </w:rPr>
        <w:t>esprime la spesa che il cittadino deve sostenere per accedere all’assistenza farmaceutica erogata dal servizio sanitario pubblico.</w:t>
      </w:r>
    </w:p>
    <w:p w:rsidR="004847BF" w:rsidRPr="00DC6795" w:rsidRDefault="004847BF" w:rsidP="000C5E54">
      <w:pPr>
        <w:jc w:val="both"/>
        <w:rPr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bCs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Friuli Venezia Giulia: la Regione con il tasso minore di ospedalizzazione per malattie cerebrovascolari (ictus)</w:t>
      </w: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Il Friuli Venezia </w:t>
      </w:r>
      <w:r w:rsidRPr="00E3568B">
        <w:rPr>
          <w:rFonts w:ascii="Verdana" w:hAnsi="Verdana" w:cs="TimesNewRomanPS-BoldMT-OTF"/>
          <w:sz w:val="22"/>
          <w:szCs w:val="22"/>
        </w:rPr>
        <w:t xml:space="preserve">Giulia è la Regione che presenta, sia per gli uomini sia per le donne il tasso minore di ospedalizzazione per malattie cerebrovascolari (ictus). Nel 2012 vi è per i maschi un tasso di 520,5 per 100.000 (valore medio nazionale 709,4); un tasso di 408,8 per 100.000 per le femmine (valore medio nazionale 527,7). </w:t>
      </w:r>
    </w:p>
    <w:p w:rsidR="004847BF" w:rsidRPr="00900817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 w:cs="TimesNewRomanPS-BoldMT-OTF"/>
          <w:sz w:val="22"/>
          <w:szCs w:val="22"/>
        </w:rPr>
        <w:t xml:space="preserve">Il Friuli resta anche quest’anno </w:t>
      </w:r>
      <w:r w:rsidRPr="00CA16C2">
        <w:rPr>
          <w:rFonts w:ascii="Verdana" w:hAnsi="Verdana"/>
          <w:b/>
          <w:sz w:val="22"/>
          <w:szCs w:val="22"/>
        </w:rPr>
        <w:t xml:space="preserve">la </w:t>
      </w:r>
      <w:r>
        <w:rPr>
          <w:rFonts w:ascii="Verdana" w:hAnsi="Verdana"/>
          <w:b/>
          <w:sz w:val="22"/>
          <w:szCs w:val="22"/>
        </w:rPr>
        <w:t xml:space="preserve">Regione che </w:t>
      </w:r>
      <w:r w:rsidRPr="00900817">
        <w:rPr>
          <w:rFonts w:ascii="Verdana" w:hAnsi="Verdana"/>
          <w:sz w:val="22"/>
          <w:szCs w:val="22"/>
        </w:rPr>
        <w:t xml:space="preserve">presenta </w:t>
      </w:r>
      <w:r>
        <w:rPr>
          <w:rFonts w:ascii="Verdana" w:hAnsi="Verdana"/>
          <w:sz w:val="22"/>
          <w:szCs w:val="22"/>
        </w:rPr>
        <w:t xml:space="preserve">la </w:t>
      </w:r>
      <w:r w:rsidRPr="00CA16C2">
        <w:rPr>
          <w:rFonts w:ascii="Verdana" w:hAnsi="Verdana"/>
          <w:b/>
          <w:sz w:val="22"/>
          <w:szCs w:val="22"/>
        </w:rPr>
        <w:t xml:space="preserve">quota minore </w:t>
      </w:r>
      <w:r>
        <w:rPr>
          <w:rFonts w:ascii="Verdana" w:hAnsi="Verdana"/>
          <w:sz w:val="22"/>
          <w:szCs w:val="22"/>
        </w:rPr>
        <w:t>di parti con taglio cesareo in Italia: i TC in Friuli sono infatti pari a</w:t>
      </w:r>
      <w:r w:rsidRPr="00900817">
        <w:rPr>
          <w:rFonts w:ascii="Verdana" w:hAnsi="Verdana"/>
          <w:sz w:val="22"/>
          <w:szCs w:val="22"/>
        </w:rPr>
        <w:t xml:space="preserve">l </w:t>
      </w:r>
      <w:r>
        <w:rPr>
          <w:rFonts w:ascii="Verdana" w:hAnsi="Verdana"/>
          <w:sz w:val="22"/>
          <w:szCs w:val="22"/>
        </w:rPr>
        <w:t>22,95</w:t>
      </w:r>
      <w:r w:rsidRPr="00900817">
        <w:rPr>
          <w:rFonts w:ascii="Verdana" w:hAnsi="Verdana" w:cs="TimesNewRomanPSMT"/>
          <w:sz w:val="22"/>
          <w:szCs w:val="22"/>
        </w:rPr>
        <w:t>%</w:t>
      </w:r>
      <w:r w:rsidRPr="00900817">
        <w:rPr>
          <w:rFonts w:ascii="Verdana" w:hAnsi="Verdana"/>
          <w:sz w:val="22"/>
          <w:szCs w:val="22"/>
        </w:rPr>
        <w:t xml:space="preserve"> sul totale dei parti </w:t>
      </w:r>
      <w:r>
        <w:rPr>
          <w:rFonts w:ascii="Verdana" w:hAnsi="Verdana"/>
          <w:sz w:val="22"/>
          <w:szCs w:val="22"/>
        </w:rPr>
        <w:t>(dati anno</w:t>
      </w:r>
      <w:r w:rsidRPr="00900817">
        <w:rPr>
          <w:rFonts w:ascii="Verdana" w:hAnsi="Verdana"/>
          <w:sz w:val="22"/>
          <w:szCs w:val="22"/>
        </w:rPr>
        <w:t xml:space="preserve"> 201</w:t>
      </w:r>
      <w:r>
        <w:rPr>
          <w:rFonts w:ascii="Verdana" w:hAnsi="Verdana"/>
          <w:sz w:val="22"/>
          <w:szCs w:val="22"/>
        </w:rPr>
        <w:t>2).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Liguria: la Regione più in linea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in cui i maschi hanno guadagnato meno giorni di vita per ridotta mortalità per malattie del sistema circolatorio 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jc w:val="both"/>
        <w:rPr>
          <w:rFonts w:ascii="Verdana" w:hAnsi="Verdana" w:cs="TimesNewRomanPS-BoldMT"/>
          <w:bCs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La Liguria è la Regione più in linea, infatti presenta le percentuali minori in Italia di individui in sovrappeso o obese: gli individui (</w:t>
      </w:r>
      <w:r w:rsidRPr="00E3568B">
        <w:rPr>
          <w:rFonts w:ascii="Verdana" w:hAnsi="Verdana" w:cs="TimesNewRomanPS-ItalicMT"/>
          <w:iCs/>
          <w:sz w:val="22"/>
          <w:szCs w:val="22"/>
        </w:rPr>
        <w:t>persone di 18 anni e oltre</w:t>
      </w:r>
      <w:r w:rsidRPr="00E3568B">
        <w:rPr>
          <w:rFonts w:ascii="Verdana" w:hAnsi="Verdana" w:cs="TimesNewRomanPS-ItalicMT"/>
          <w:sz w:val="22"/>
          <w:szCs w:val="22"/>
        </w:rPr>
        <w:t xml:space="preserve">) </w:t>
      </w:r>
      <w:r w:rsidRPr="00E3568B">
        <w:rPr>
          <w:rFonts w:ascii="Verdana" w:hAnsi="Verdana"/>
          <w:sz w:val="22"/>
          <w:szCs w:val="22"/>
        </w:rPr>
        <w:t>in sovrappeso sono il 32,3% della popolazione regionale; il valore medio nazionale è il 35,6%. Gli obesi il 6,9% dei cittadini liguri, a fronte di un valore medio italiano del</w:t>
      </w:r>
      <w:r w:rsidRPr="00E3568B">
        <w:rPr>
          <w:rFonts w:ascii="Verdana" w:hAnsi="Verdana" w:cs="TimesNewRomanPS-BoldMT"/>
          <w:bCs/>
          <w:sz w:val="22"/>
          <w:szCs w:val="22"/>
        </w:rPr>
        <w:t xml:space="preserve"> 10,4%</w:t>
      </w:r>
      <w:r w:rsidRPr="00E3568B">
        <w:rPr>
          <w:rFonts w:ascii="Verdana" w:hAnsi="Verdana"/>
          <w:sz w:val="22"/>
          <w:szCs w:val="22"/>
        </w:rPr>
        <w:t>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  <w:u w:val="single"/>
        </w:rPr>
      </w:pPr>
      <w:r w:rsidRPr="00E3568B">
        <w:rPr>
          <w:rFonts w:ascii="Verdana" w:hAnsi="Verdana"/>
          <w:sz w:val="22"/>
          <w:szCs w:val="22"/>
        </w:rPr>
        <w:t xml:space="preserve">Ma la Liguria è la Regione in cui si registra il guadagno minore in termini di giorni di vita aggiunti alla speranza di vita media della popolazione maschile residente, </w:t>
      </w:r>
      <w:r w:rsidRPr="00E3568B">
        <w:rPr>
          <w:rFonts w:ascii="Verdana" w:hAnsi="Verdana" w:cs="TimesNewRomanPSMT"/>
          <w:sz w:val="22"/>
          <w:szCs w:val="22"/>
        </w:rPr>
        <w:t>nonostante la riduzione della mortalità per malattie del sistema circolatorio: si tratta di un guadagno di 58 giorni contro un guadagno medio italiano 133 giorni.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 w:cs="TimesNewRomanPSMT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 w:cs="TimesNewRomanPSMT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Emilia Romagna: la Regione con la degenza media preoperatoria più breve</w:t>
      </w:r>
    </w:p>
    <w:p w:rsidR="004847BF" w:rsidRDefault="004847BF" w:rsidP="000C5E54">
      <w:pPr>
        <w:jc w:val="both"/>
        <w:rPr>
          <w:rFonts w:ascii="Verdana" w:hAnsi="Verdana" w:cs="TimesNewRomanPSMT"/>
          <w:i/>
          <w:sz w:val="28"/>
          <w:szCs w:val="28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Style w:val="Enfasigrassetto"/>
          <w:rFonts w:ascii="Verdana" w:hAnsi="Verdana"/>
          <w:b w:val="0"/>
          <w:sz w:val="22"/>
          <w:szCs w:val="22"/>
        </w:rPr>
      </w:pPr>
      <w:r w:rsidRPr="00E3568B">
        <w:rPr>
          <w:rStyle w:val="Enfasigrassetto"/>
          <w:rFonts w:ascii="Verdana" w:hAnsi="Verdana"/>
          <w:b w:val="0"/>
          <w:sz w:val="22"/>
          <w:szCs w:val="22"/>
        </w:rPr>
        <w:t>L’Emilia Romagna è la Regione con la Degenza Media Preoperatoria standardizzata più breve in Italia: è  pari a 1,22 giorni, a fronte di una media nazionale di 1,81. Questo parametro è indice di efficienza organizzativa e di appropriato utilizzo dei servizi diagnostici e dei reparti di degenza chirurgici.</w:t>
      </w:r>
    </w:p>
    <w:p w:rsidR="004847BF" w:rsidRPr="00E94658" w:rsidRDefault="004847BF" w:rsidP="000C5E54">
      <w:pPr>
        <w:autoSpaceDE w:val="0"/>
        <w:autoSpaceDN w:val="0"/>
        <w:adjustRightInd w:val="0"/>
        <w:jc w:val="both"/>
        <w:rPr>
          <w:rStyle w:val="Enfasigrassetto"/>
          <w:rFonts w:ascii="Verdana" w:hAnsi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Toscana: la Regione con meno donne anziane e in salute che vivono sole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con la quota minore di non fumatori 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La Toscana è la Regione con meno donne di 65 anni o più sane che vivono sole: sono il 28,17% delle femmine in questa classe di età (valori medi nazionali: 16,02% dei maschi e il 35,39% delle femmine).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la Toscana è la Regione con la minore percentuale di non fumatori: sono il 49,9% </w:t>
      </w:r>
      <w:r w:rsidRPr="00E3568B">
        <w:rPr>
          <w:rFonts w:ascii="Verdana" w:hAnsi="Verdana" w:cs="TimesNewRomanPSMT"/>
          <w:sz w:val="22"/>
          <w:szCs w:val="22"/>
        </w:rPr>
        <w:t xml:space="preserve">della popolazione regionale </w:t>
      </w:r>
      <w:r w:rsidRPr="00E3568B">
        <w:rPr>
          <w:rFonts w:ascii="Verdana" w:hAnsi="Verdana"/>
          <w:sz w:val="22"/>
          <w:szCs w:val="22"/>
        </w:rPr>
        <w:t xml:space="preserve">di 14 anni e oltre – percentuale minore in Italia (valore medio nazionale </w:t>
      </w:r>
      <w:r w:rsidRPr="00E3568B">
        <w:rPr>
          <w:rFonts w:ascii="Verdana" w:hAnsi="Verdana" w:cs="TimesNewRomanPS-BoldMT-OTF"/>
          <w:bCs/>
          <w:sz w:val="22"/>
          <w:szCs w:val="22"/>
        </w:rPr>
        <w:t>54,2%)</w:t>
      </w:r>
      <w:r w:rsidRPr="00E3568B">
        <w:rPr>
          <w:rFonts w:ascii="Verdana" w:hAnsi="Verdana"/>
          <w:sz w:val="22"/>
          <w:szCs w:val="22"/>
        </w:rPr>
        <w:t>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ItalicMT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Umbria: la Regione con il tasso minore di aborti spontanei</w:t>
      </w:r>
    </w:p>
    <w:p w:rsidR="004847BF" w:rsidRPr="00E3568B" w:rsidRDefault="004847BF" w:rsidP="000C5E54">
      <w:pPr>
        <w:jc w:val="both"/>
        <w:rPr>
          <w:rFonts w:ascii="Verdana" w:hAnsi="Verdana" w:cs="TimesNewRomanPSMT"/>
          <w:i/>
          <w:sz w:val="22"/>
          <w:szCs w:val="22"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è la Regione con il tasso minore di donatori segnalati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Style w:val="Enfasigrassetto"/>
          <w:rFonts w:ascii="Verdana" w:hAnsi="Verdana"/>
          <w:b w:val="0"/>
          <w:sz w:val="22"/>
          <w:szCs w:val="22"/>
        </w:rPr>
      </w:pPr>
      <w:r w:rsidRPr="00E3568B">
        <w:rPr>
          <w:rStyle w:val="Enfasigrassetto"/>
          <w:rFonts w:ascii="Verdana" w:hAnsi="Verdana"/>
          <w:b w:val="0"/>
          <w:sz w:val="22"/>
          <w:szCs w:val="22"/>
        </w:rPr>
        <w:t xml:space="preserve">L’Umbria è </w:t>
      </w:r>
      <w:smartTag w:uri="urn:schemas-microsoft-com:office:smarttags" w:element="PersonName">
        <w:smartTagPr>
          <w:attr w:name="ProductID" w:val="la Regione"/>
        </w:smartTagPr>
        <w:r w:rsidRPr="00E3568B">
          <w:rPr>
            <w:rStyle w:val="Enfasigrassetto"/>
            <w:rFonts w:ascii="Verdana" w:hAnsi="Verdana"/>
            <w:b w:val="0"/>
            <w:sz w:val="22"/>
            <w:szCs w:val="22"/>
          </w:rPr>
          <w:t>la Regione</w:t>
        </w:r>
      </w:smartTag>
      <w:r w:rsidRPr="00E3568B">
        <w:rPr>
          <w:rStyle w:val="Enfasigrassetto"/>
          <w:rFonts w:ascii="Verdana" w:hAnsi="Verdana"/>
          <w:b w:val="0"/>
          <w:sz w:val="22"/>
          <w:szCs w:val="22"/>
        </w:rPr>
        <w:t xml:space="preserve"> con il minore tasso di abortività spontanea in Italia, pari a 82,53 per mille nati vivi, contro un valore medio italiano di 120,58 per 1000 (dati anno 2011).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l’Umbria è la Regione con il tasso minimo di donatori segnalati in Italia, pari a 12,5 </w:t>
      </w:r>
      <w:r w:rsidRPr="00E3568B">
        <w:rPr>
          <w:rFonts w:ascii="Verdana" w:hAnsi="Verdana"/>
          <w:color w:val="000000"/>
          <w:sz w:val="22"/>
          <w:szCs w:val="22"/>
        </w:rPr>
        <w:t xml:space="preserve">per 1.000.000 di persone, contro un tasso medio nazionale di 38,3 per 1.000.000. I </w:t>
      </w:r>
      <w:r w:rsidRPr="00E3568B">
        <w:rPr>
          <w:rFonts w:ascii="Verdana" w:hAnsi="Verdana"/>
          <w:sz w:val="22"/>
          <w:szCs w:val="22"/>
        </w:rPr>
        <w:t>donatori segnalati sono le persone indicate dai medici della rianimazione come potenzialmente idonee al prelievo di organi e tessuti.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Inoltre l</w:t>
      </w:r>
      <w:r w:rsidRPr="00E3568B">
        <w:rPr>
          <w:rFonts w:ascii="Verdana" w:hAnsi="Verdana" w:cs="TimesNewRomanPS-BoldMT"/>
          <w:sz w:val="22"/>
          <w:szCs w:val="22"/>
        </w:rPr>
        <w:t>’Umbria è la Regione che presenta la percentuale maggiore di persone con limitazioni gravi nelle attività quotidiane, pari al 7% dei residenti in Regione, a fronte di un valore medio nazionale del 5,2%.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bCs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Marche: la Regione che utilizza al meglio gli organi disponibili per il trapianto</w:t>
      </w: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Le Marche sono la Regione con il tasso maggiore di donatori di organo utilizzati: per il 2012 si registra, infatti, un tasso di 35 per milione di persone, contro un valore medio italiano di 18,9 per milione di persone. Significa che la Regione è molto efficiente nella gestione degli organi da trapianto disponibili.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b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b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  <w:r w:rsidRPr="000C5E54">
        <w:rPr>
          <w:rFonts w:ascii="Verdana" w:hAnsi="Verdana"/>
          <w:b/>
        </w:rPr>
        <w:t>Lazio: la Regione che cura in day hospital più pazienti provenienti da altre</w:t>
      </w:r>
      <w:r w:rsidRPr="00E3568B">
        <w:rPr>
          <w:rFonts w:ascii="Verdana" w:hAnsi="Verdana"/>
          <w:b/>
          <w:sz w:val="22"/>
          <w:szCs w:val="22"/>
        </w:rPr>
        <w:t xml:space="preserve"> parti d'Italia  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con un trend crescente di consumi a rischio di alcolici tra i maschi 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0C5E54">
        <w:rPr>
          <w:rFonts w:ascii="Verdana" w:hAnsi="Verdana"/>
          <w:sz w:val="22"/>
          <w:szCs w:val="22"/>
        </w:rPr>
        <w:t>Il Lazio è la Regione che</w:t>
      </w:r>
      <w:r w:rsidRPr="000C5E54">
        <w:rPr>
          <w:rFonts w:ascii="Verdana" w:hAnsi="Verdana" w:cs="Arial"/>
          <w:sz w:val="22"/>
          <w:szCs w:val="22"/>
        </w:rPr>
        <w:t xml:space="preserve"> cura in regime di day hospital più pazienti provenienti da fuori regione (</w:t>
      </w:r>
      <w:r w:rsidRPr="000C5E54">
        <w:rPr>
          <w:rFonts w:ascii="Verdana" w:hAnsi="Verdana" w:cs="TimesNewRomanPSMT"/>
          <w:sz w:val="22"/>
          <w:szCs w:val="22"/>
        </w:rPr>
        <w:t xml:space="preserve">35.211nel 2012) </w:t>
      </w:r>
      <w:r w:rsidRPr="000C5E54">
        <w:rPr>
          <w:rFonts w:ascii="Verdana" w:hAnsi="Verdana" w:cs="Arial"/>
          <w:sz w:val="22"/>
          <w:szCs w:val="22"/>
        </w:rPr>
        <w:t xml:space="preserve">e che presenta il saldo maggiore tra pazienti che da altre regioni vengono a curarsi negli ospedali laziali e residenti nel Lazio che invece escono dai confini regionali per curarsi, sempre in regime di day hospital: questo saldo ammonta annualmente a </w:t>
      </w:r>
      <w:r w:rsidRPr="000C5E54">
        <w:rPr>
          <w:rFonts w:ascii="Verdana" w:hAnsi="Verdana"/>
          <w:sz w:val="22"/>
          <w:szCs w:val="22"/>
        </w:rPr>
        <w:t xml:space="preserve">18.329 pazienti (anno 2012). I pazienti che da altre regioni sono arrivati nel Lazio per curarsi nello stesso anno sono stati </w:t>
      </w:r>
      <w:r w:rsidRPr="000C5E54">
        <w:rPr>
          <w:rFonts w:ascii="Verdana" w:hAnsi="Verdana" w:cs="TimesNewRomanPSMT"/>
          <w:sz w:val="22"/>
          <w:szCs w:val="22"/>
        </w:rPr>
        <w:t>35.211 (dimissioni per acuti in regime di day hospital), che corrisponde a una percentuale di attrazione del 10,8%;</w:t>
      </w:r>
      <w:r w:rsidRPr="000C5E54">
        <w:rPr>
          <w:rFonts w:ascii="Verdana" w:hAnsi="Verdana"/>
          <w:sz w:val="22"/>
          <w:szCs w:val="22"/>
        </w:rPr>
        <w:t xml:space="preserve"> i pazienti laziali che sono andati a curarsi altrove</w:t>
      </w:r>
      <w:r w:rsidRPr="000C5E54">
        <w:rPr>
          <w:rFonts w:ascii="Verdana" w:hAnsi="Verdana" w:cs="TimesNewRomanPSMT"/>
          <w:sz w:val="22"/>
          <w:szCs w:val="22"/>
        </w:rPr>
        <w:t xml:space="preserve"> sono stati 16.882, che corrisponde a un indice di fuga del 5,5%.</w:t>
      </w:r>
    </w:p>
    <w:p w:rsidR="004847BF" w:rsidRPr="000C5E54" w:rsidRDefault="004847BF" w:rsidP="000C5E54">
      <w:pPr>
        <w:spacing w:before="100" w:beforeAutospacing="1" w:after="100" w:afterAutospacing="1"/>
        <w:jc w:val="both"/>
        <w:rPr>
          <w:rFonts w:ascii="Verdana" w:hAnsi="Verdana"/>
          <w:sz w:val="22"/>
          <w:szCs w:val="22"/>
        </w:rPr>
      </w:pPr>
      <w:r w:rsidRPr="000C5E54">
        <w:rPr>
          <w:rFonts w:ascii="Verdana" w:hAnsi="Verdana"/>
          <w:sz w:val="22"/>
          <w:szCs w:val="22"/>
        </w:rPr>
        <w:t>In negativo, invece, si segnala che nel Lazio vi è un trend in crescita di consumo di alcolici a rischio tra i maschi: infatti, nel corso degli ultimi anni tra gli uomini si è registrato un trend in aumento dei consumatori a rischio che sono passati dal 18,2% della popolazione maschile di età 19-64 anni (media italiana 21,5%) nel 2010 al 20,9% nel 2011 (media italiana 19,8%).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Abruzzo: la Regione con meno giovani con consumi rischiosi di alcolici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è la Regione con la maggiore mortalità femminile per tumori e malattie cardiocircolatorie</w:t>
      </w:r>
    </w:p>
    <w:p w:rsidR="004847BF" w:rsidRPr="0072319A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b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Style w:val="Enfasigrassetto"/>
          <w:rFonts w:ascii="Verdana" w:hAnsi="Verdana"/>
          <w:b w:val="0"/>
          <w:sz w:val="22"/>
          <w:szCs w:val="22"/>
        </w:rPr>
      </w:pPr>
      <w:r w:rsidRPr="00E3568B">
        <w:rPr>
          <w:rStyle w:val="Enfasigrassetto"/>
          <w:rFonts w:ascii="Verdana" w:hAnsi="Verdana"/>
          <w:b w:val="0"/>
          <w:sz w:val="22"/>
          <w:szCs w:val="22"/>
        </w:rPr>
        <w:t xml:space="preserve">L’Abruzzo è la Regione con meno giovani con consumi di alcolici rischiosi come il binge drinking: </w:t>
      </w:r>
      <w:r w:rsidRPr="00E3568B">
        <w:rPr>
          <w:rFonts w:ascii="Verdana" w:hAnsi="Verdana"/>
          <w:sz w:val="22"/>
          <w:szCs w:val="22"/>
        </w:rPr>
        <w:t xml:space="preserve">infatti la prevalenza di consumatori a rischio di 11-18 anni (ovvero quei giovani che praticano almeno uno dei comportamenti a rischio relativamente al consumo di alcol, come l’eccedenza quotidiana o il binge drinking) è pari al 6,5% </w:t>
      </w:r>
      <w:r w:rsidRPr="00E3568B">
        <w:rPr>
          <w:rFonts w:ascii="Verdana" w:hAnsi="Verdana" w:cs="TimesNewRomanPSMT"/>
          <w:sz w:val="22"/>
          <w:szCs w:val="22"/>
        </w:rPr>
        <w:t xml:space="preserve">dei giovani in questa fascia d’età – percentuale minore in Italia </w:t>
      </w:r>
      <w:r w:rsidRPr="00E3568B">
        <w:rPr>
          <w:rFonts w:ascii="Verdana" w:hAnsi="Verdana"/>
          <w:sz w:val="22"/>
          <w:szCs w:val="22"/>
        </w:rPr>
        <w:t xml:space="preserve">(valore medio italiano </w:t>
      </w:r>
      <w:r w:rsidRPr="00E3568B">
        <w:rPr>
          <w:rFonts w:ascii="Verdana" w:hAnsi="Verdana" w:cs="TimesNewRomanPS-BoldMT-OTF"/>
          <w:bCs/>
          <w:sz w:val="22"/>
          <w:szCs w:val="22"/>
        </w:rPr>
        <w:t>11,4</w:t>
      </w:r>
      <w:r w:rsidRPr="00E3568B">
        <w:rPr>
          <w:rFonts w:ascii="Verdana" w:hAnsi="Verdana"/>
          <w:sz w:val="22"/>
          <w:szCs w:val="22"/>
        </w:rPr>
        <w:t>%).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l’Abruzzo è la Regione con i più elevati tassi di mortalità in Italia per le donne  di 19-64 anni per quanto riguarda i tumori e le malattie cardiovascolari: infatti tra le femmine la mortalità per tumori è pari a 8,5 </w:t>
      </w:r>
      <w:r w:rsidRPr="00E3568B">
        <w:rPr>
          <w:rFonts w:ascii="Verdana" w:hAnsi="Verdana" w:cs="TimesNewRomanPSMT"/>
          <w:sz w:val="22"/>
          <w:szCs w:val="22"/>
        </w:rPr>
        <w:t>per 10.000</w:t>
      </w:r>
      <w:r w:rsidRPr="00E3568B">
        <w:rPr>
          <w:rFonts w:ascii="Verdana" w:hAnsi="Verdana"/>
          <w:sz w:val="22"/>
          <w:szCs w:val="22"/>
        </w:rPr>
        <w:t>- tasso maggiore in Italia</w:t>
      </w:r>
      <w:r w:rsidRPr="00E3568B">
        <w:rPr>
          <w:rFonts w:ascii="Verdana" w:hAnsi="Verdana" w:cs="TimesNewRomanPSMT"/>
          <w:sz w:val="22"/>
          <w:szCs w:val="22"/>
        </w:rPr>
        <w:t xml:space="preserve">, </w:t>
      </w:r>
      <w:r w:rsidRPr="00E3568B">
        <w:rPr>
          <w:rFonts w:ascii="Verdana" w:hAnsi="Verdana"/>
          <w:sz w:val="22"/>
          <w:szCs w:val="22"/>
        </w:rPr>
        <w:t xml:space="preserve">(vs un valore medio nazionale di 7,7 </w:t>
      </w:r>
      <w:r w:rsidRPr="00E3568B">
        <w:rPr>
          <w:rFonts w:ascii="Verdana" w:hAnsi="Verdana" w:cs="TimesNewRomanPSMT"/>
          <w:sz w:val="22"/>
          <w:szCs w:val="22"/>
        </w:rPr>
        <w:t>per 10.000</w:t>
      </w:r>
      <w:r w:rsidRPr="00E3568B">
        <w:rPr>
          <w:rFonts w:ascii="Verdana" w:hAnsi="Verdana"/>
          <w:sz w:val="22"/>
          <w:szCs w:val="22"/>
        </w:rPr>
        <w:t>) e la mortalità per malattie del sistema circolatorio di 2,9</w:t>
      </w:r>
      <w:r w:rsidRPr="00E3568B">
        <w:rPr>
          <w:rFonts w:ascii="Verdana" w:hAnsi="Verdana" w:cs="TimesNewRomanPS-BoldItalicMT"/>
          <w:bCs/>
          <w:iCs/>
          <w:sz w:val="22"/>
          <w:szCs w:val="22"/>
        </w:rPr>
        <w:t xml:space="preserve"> </w:t>
      </w:r>
      <w:r w:rsidRPr="00E3568B">
        <w:rPr>
          <w:rFonts w:ascii="Verdana" w:hAnsi="Verdana" w:cs="TimesNewRomanPSMT"/>
          <w:sz w:val="22"/>
          <w:szCs w:val="22"/>
        </w:rPr>
        <w:t xml:space="preserve">per 10.000 </w:t>
      </w:r>
      <w:r w:rsidRPr="00E3568B">
        <w:rPr>
          <w:rFonts w:ascii="Verdana" w:hAnsi="Verdana"/>
          <w:sz w:val="22"/>
          <w:szCs w:val="22"/>
        </w:rPr>
        <w:t xml:space="preserve">- tasso maggiore in Italia (vs un valore medio nazionale di 1,8 </w:t>
      </w:r>
      <w:r w:rsidRPr="00E3568B">
        <w:rPr>
          <w:rFonts w:ascii="Verdana" w:hAnsi="Verdana" w:cs="TimesNewRomanPSMT"/>
          <w:sz w:val="22"/>
          <w:szCs w:val="22"/>
        </w:rPr>
        <w:t>per 10.000</w:t>
      </w:r>
      <w:r w:rsidRPr="00E3568B">
        <w:rPr>
          <w:rFonts w:ascii="Verdana" w:hAnsi="Verdana"/>
          <w:sz w:val="22"/>
          <w:szCs w:val="22"/>
        </w:rPr>
        <w:t>).</w:t>
      </w:r>
    </w:p>
    <w:p w:rsidR="004847BF" w:rsidRPr="00AF0467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 xml:space="preserve">Molise: la Regione in cui gli uomini hanno ridotto di più i consumi a rischio di alcolici 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resta la Regione con la percentuale maggiore di persone obese</w:t>
      </w: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Il Molise è la Regione che presenta la maggiore riduzione in termini percentuali dei maschi di 19-64 anni consumatori a rischio di alcolici, infatti</w:t>
      </w:r>
      <w:r w:rsidRPr="00E3568B">
        <w:rPr>
          <w:rFonts w:ascii="Verdana" w:hAnsi="Verdana" w:cs="TimesNewRomanPSMT"/>
          <w:sz w:val="22"/>
          <w:szCs w:val="22"/>
        </w:rPr>
        <w:t xml:space="preserve">, nonostante il trend in crescita registrato negli anni 2007-2010 (periodo in cui si è passati dal 28,8% dei maschi in questa classe di età con consumi di alcol a rischio nel 2007 al 42,8% del 2010), in Molise si è registrata nel corso dell’ultimo anno </w:t>
      </w:r>
      <w:r w:rsidRPr="00E3568B">
        <w:rPr>
          <w:rFonts w:ascii="Verdana" w:hAnsi="Verdana"/>
          <w:sz w:val="22"/>
          <w:szCs w:val="22"/>
        </w:rPr>
        <w:t>considerato (2011) una riduzione dei consumatori a rischio di 7,9 punti percentuali. Infatti nel 2011 si è scesi al 34,9% dei maschi (valore medio italiano 19,8%).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In negativo, invece, si segnala che il Molise resta anche in questa edizione del Rapporto la Regione con la percentuale maggiore di persone obese, il 13,5% dei residenti contro il 10,4% degli italiani. 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Campania: si conferma la Regione dove si consumano meno antidepressivi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con la quota maggiore di bambini e ragazzi sovrappeso e obesi </w:t>
      </w: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Campania è la Regione dove anche quest’anno si consumano meno antidepressivi: vi è un consumo </w:t>
      </w:r>
      <w:r w:rsidRPr="00E3568B">
        <w:rPr>
          <w:rFonts w:ascii="Verdana" w:hAnsi="Verdana" w:cs="TimesNewRomanPSMT"/>
          <w:sz w:val="22"/>
          <w:szCs w:val="22"/>
        </w:rPr>
        <w:t xml:space="preserve">pari a 29,1 dosi definite giornaliere per 1.000 abitanti nel 2012, il minore in Italia. A livello nazionale il consumo medio è di 36,8 </w:t>
      </w:r>
      <w:r w:rsidRPr="00E3568B">
        <w:rPr>
          <w:rFonts w:ascii="Verdana" w:hAnsi="Verdana" w:cs="TimesNewRomanPS-ItalicMT"/>
          <w:iCs/>
          <w:sz w:val="22"/>
          <w:szCs w:val="22"/>
        </w:rPr>
        <w:t>DDD/1.000 ab die</w:t>
      </w:r>
      <w:r w:rsidRPr="00E3568B">
        <w:rPr>
          <w:rFonts w:ascii="Verdana" w:hAnsi="Verdana" w:cs="TimesNewRomanPSMT"/>
          <w:sz w:val="22"/>
          <w:szCs w:val="22"/>
        </w:rPr>
        <w:t>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Ma la Campania è la Regione con la quota maggiore di bambini e ragazzi sovrappeso e obesi. Infatti non solo in Campania ben il 40,6% (percentuale maggiore in Italia) dei minori di 6-17 anni è in eccesso di peso (sovrappeso o obesi) contro un valore medio nazionale di 26,9%. Ma la Campania detiene anche il primato negativo dei bambini di 8-9 anni che sono in condizione di obesità: sono il 21,5% dei bimbi in questa fascia di età, contro un valore medio nazionale del 10,6%.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bCs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Puglia: la Regione con più non fumatori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>Ma è la Regione che utilizza meno organi da donatori</w:t>
      </w:r>
    </w:p>
    <w:p w:rsidR="004847BF" w:rsidRPr="0072319A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b/>
          <w:sz w:val="22"/>
          <w:szCs w:val="22"/>
        </w:rPr>
      </w:pPr>
    </w:p>
    <w:p w:rsidR="004847BF" w:rsidRPr="00F077A7" w:rsidRDefault="004847BF" w:rsidP="000C5E54">
      <w:pPr>
        <w:jc w:val="both"/>
        <w:rPr>
          <w:rFonts w:ascii="Verdana" w:hAnsi="Verdana" w:cs="TimesNewRomanPS-BoldMT"/>
          <w:bCs/>
          <w:sz w:val="22"/>
          <w:szCs w:val="22"/>
        </w:rPr>
      </w:pPr>
      <w:r w:rsidRPr="00F077A7">
        <w:rPr>
          <w:rFonts w:ascii="Verdana" w:hAnsi="Verdana"/>
          <w:sz w:val="22"/>
          <w:szCs w:val="22"/>
        </w:rPr>
        <w:t xml:space="preserve">La Puglia è la Regione con la maggiore percentuale di non fumatori: sono il 60,9% </w:t>
      </w:r>
      <w:r w:rsidRPr="00F077A7">
        <w:rPr>
          <w:rFonts w:ascii="Verdana" w:hAnsi="Verdana" w:cs="TimesNewRomanPSMT"/>
          <w:sz w:val="22"/>
          <w:szCs w:val="22"/>
        </w:rPr>
        <w:t xml:space="preserve">della popolazione regionale </w:t>
      </w:r>
      <w:r w:rsidRPr="00F077A7">
        <w:rPr>
          <w:rFonts w:ascii="Verdana" w:hAnsi="Verdana"/>
          <w:sz w:val="22"/>
          <w:szCs w:val="22"/>
        </w:rPr>
        <w:t xml:space="preserve">di 14 anni e oltre (valore medio nazionale </w:t>
      </w:r>
      <w:r w:rsidRPr="00F077A7">
        <w:rPr>
          <w:rFonts w:ascii="Verdana" w:hAnsi="Verdana" w:cs="TimesNewRomanPS-BoldMT-OTF"/>
          <w:bCs/>
          <w:sz w:val="22"/>
          <w:szCs w:val="22"/>
        </w:rPr>
        <w:t>54,2%)</w:t>
      </w:r>
      <w:r w:rsidRPr="00F077A7">
        <w:rPr>
          <w:rFonts w:ascii="Verdana" w:hAnsi="Verdana"/>
          <w:sz w:val="22"/>
          <w:szCs w:val="22"/>
        </w:rPr>
        <w:t>.</w:t>
      </w:r>
    </w:p>
    <w:p w:rsidR="004847BF" w:rsidRPr="00F077A7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F077A7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  <w:u w:val="single"/>
        </w:rPr>
      </w:pPr>
      <w:r w:rsidRPr="00F077A7">
        <w:rPr>
          <w:rFonts w:ascii="Verdana" w:hAnsi="Verdana"/>
          <w:sz w:val="22"/>
          <w:szCs w:val="22"/>
        </w:rPr>
        <w:t xml:space="preserve">Ma la </w:t>
      </w:r>
      <w:r w:rsidRPr="00F077A7">
        <w:rPr>
          <w:rFonts w:ascii="Verdana" w:hAnsi="Verdana" w:cs="TimesNewRomanPSMT"/>
          <w:sz w:val="22"/>
          <w:szCs w:val="22"/>
        </w:rPr>
        <w:t>Puglia è la Regione con il tasso minore di donatori utilizzati (donatore dal quale almeno un organo solido e stato prelevato e trapiantato) in Italia, il 6,9 per milione, contro un tasso medio italiano</w:t>
      </w:r>
      <w:r w:rsidRPr="00F077A7">
        <w:rPr>
          <w:rFonts w:ascii="Verdana" w:hAnsi="Verdana"/>
          <w:sz w:val="22"/>
          <w:szCs w:val="22"/>
        </w:rPr>
        <w:t xml:space="preserve"> di 18,9. Significa che va migliorato il processo di donazione ai fini dell’aumento di attività di trapianto.</w:t>
      </w: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 xml:space="preserve">Basilicata: la Regione in cui le donne hanno guadagnato più giorni di vita in cinque anni 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con la quota minore di persone che mangiano cinque porzioni di frutta e verdura al dì 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La Basilicata è la Regione in cui le donne hanno guadagnato più giorni di vita in cinque anni, tra 2006/2010: il guadagno è di ben 365 giorni contro un guadagno medio delle donne in Italia di 183 giorni nello stesso periodo di tempo.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Ma la Basilicata è la Regione con la minore percentuale di cittadini che consuma le quantità raccomandate di frutta e verdura: infatti in Basilicata solo l’1,7% della popolazione consuma in media le 5 o più porzioni di verdura, ortaggi e frutta al dì – percentuale minima in Italia, contro una media nazionale del 4,7%.</w:t>
      </w: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Calabria: la Regione con la minore incidenza di Hiv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dove si eseguono meno trapianti 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Calabria è la Regione dove si registra la minore incidenza di Hiv: </w:t>
      </w:r>
      <w:r w:rsidRPr="00E3568B">
        <w:rPr>
          <w:rFonts w:ascii="Verdana" w:hAnsi="Verdana"/>
          <w:color w:val="000000"/>
          <w:sz w:val="22"/>
          <w:szCs w:val="22"/>
        </w:rPr>
        <w:t>il tasso (per 100.000) di incidenza delle nuove diagnosi di HIV è infatti pari a 1,3 per 100.000 contro un tasso medio italiano di 5,8 (anno 2011)</w:t>
      </w:r>
      <w:r w:rsidRPr="00E3568B">
        <w:rPr>
          <w:rFonts w:ascii="Verdana" w:hAnsi="Verdana"/>
          <w:sz w:val="22"/>
          <w:szCs w:val="22"/>
        </w:rPr>
        <w:t>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Ma la Calabria è la Regione in cui si effettuano meno trapianti: la Regione ha infatti un tasso di trapianti effettuati di 10,2 per milione, contro un tasso medio italiano di 48,8 per milione (dati 2012).</w:t>
      </w:r>
    </w:p>
    <w:p w:rsidR="004847BF" w:rsidRPr="00A27770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b/>
          <w:sz w:val="22"/>
          <w:szCs w:val="22"/>
          <w:u w:val="single"/>
        </w:rPr>
      </w:pP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Sicilia: la Regione dove si consumano meno alcolici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con meno sportivi </w:t>
      </w:r>
    </w:p>
    <w:p w:rsidR="004847BF" w:rsidRDefault="004847BF" w:rsidP="000C5E5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2"/>
          <w:szCs w:val="22"/>
          <w:u w:val="single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Sicilia è la Regione dove si consumano meno alcolici: fa registrare i seguenti valori: nel 2011 presenta una quota di non consumatori pari al </w:t>
      </w:r>
      <w:r w:rsidRPr="00E3568B">
        <w:rPr>
          <w:rFonts w:ascii="Verdana" w:hAnsi="Verdana" w:cs="TimesNewRomanPSMT"/>
          <w:sz w:val="22"/>
          <w:szCs w:val="22"/>
        </w:rPr>
        <w:t>40,8%</w:t>
      </w:r>
      <w:r w:rsidRPr="00E3568B">
        <w:rPr>
          <w:rFonts w:ascii="Verdana" w:hAnsi="Verdana"/>
          <w:sz w:val="22"/>
          <w:szCs w:val="22"/>
        </w:rPr>
        <w:t xml:space="preserve"> - percentuale maggiore in Italia, a fronte di un valore medio nazionale del </w:t>
      </w:r>
      <w:r w:rsidRPr="00E3568B">
        <w:rPr>
          <w:rFonts w:ascii="Verdana" w:hAnsi="Verdana" w:cs="TimesNewRomanPS-BoldMT-OTF"/>
          <w:bCs/>
          <w:sz w:val="22"/>
          <w:szCs w:val="22"/>
        </w:rPr>
        <w:t>33,6</w:t>
      </w:r>
      <w:r w:rsidRPr="00E3568B">
        <w:rPr>
          <w:rFonts w:ascii="Verdana" w:hAnsi="Verdana"/>
          <w:sz w:val="22"/>
          <w:szCs w:val="22"/>
        </w:rPr>
        <w:t xml:space="preserve">%. I consumatori sono il </w:t>
      </w:r>
      <w:r w:rsidRPr="00E3568B">
        <w:rPr>
          <w:rFonts w:ascii="Verdana" w:hAnsi="Verdana" w:cs="TimesNewRomanPSMT"/>
          <w:sz w:val="22"/>
          <w:szCs w:val="22"/>
        </w:rPr>
        <w:t>56,3</w:t>
      </w:r>
      <w:r w:rsidRPr="00E3568B">
        <w:rPr>
          <w:rFonts w:ascii="Verdana" w:hAnsi="Verdana"/>
          <w:sz w:val="22"/>
          <w:szCs w:val="22"/>
        </w:rPr>
        <w:t xml:space="preserve">% - percentuale minore in Italia, a fronte di un valore medio nazionale del </w:t>
      </w:r>
      <w:r w:rsidRPr="00E3568B">
        <w:rPr>
          <w:rFonts w:ascii="Verdana" w:hAnsi="Verdana" w:cs="TimesNewRomanPS-BoldMT-OTF"/>
          <w:bCs/>
          <w:sz w:val="22"/>
          <w:szCs w:val="22"/>
        </w:rPr>
        <w:t>65</w:t>
      </w:r>
      <w:r w:rsidRPr="00E3568B">
        <w:rPr>
          <w:rFonts w:ascii="Verdana" w:hAnsi="Verdana"/>
          <w:sz w:val="22"/>
          <w:szCs w:val="22"/>
        </w:rPr>
        <w:t>%.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Ma la Sicilia è la Regione con la minore percentuale di sportivi: appena il 13,5% - percentuale minore in Italia - della popolazione dai 3 anni in su pratica sport in modo continuativo (valore medio italiano </w:t>
      </w:r>
      <w:r w:rsidRPr="00E3568B">
        <w:rPr>
          <w:rFonts w:ascii="Verdana" w:hAnsi="Verdana" w:cs="TimesNewRomanPS-BoldMT-OTF"/>
          <w:bCs/>
          <w:sz w:val="22"/>
          <w:szCs w:val="22"/>
        </w:rPr>
        <w:t>21,9</w:t>
      </w:r>
      <w:r w:rsidRPr="00E3568B">
        <w:rPr>
          <w:rFonts w:ascii="Verdana" w:hAnsi="Verdana"/>
          <w:sz w:val="22"/>
          <w:szCs w:val="22"/>
        </w:rPr>
        <w:t>%); solo il</w:t>
      </w:r>
      <w:r w:rsidRPr="00E3568B">
        <w:rPr>
          <w:rFonts w:ascii="Verdana" w:hAnsi="Verdana" w:cs="TimesNewRomanPSMT"/>
          <w:sz w:val="22"/>
          <w:szCs w:val="22"/>
        </w:rPr>
        <w:t xml:space="preserve"> </w:t>
      </w:r>
      <w:r w:rsidRPr="00E3568B">
        <w:rPr>
          <w:rFonts w:ascii="Verdana" w:hAnsi="Verdana" w:cs="TimesNewRomanPS-BoldMT-OTF"/>
          <w:bCs/>
          <w:sz w:val="22"/>
          <w:szCs w:val="22"/>
        </w:rPr>
        <w:t>22%</w:t>
      </w:r>
      <w:r w:rsidRPr="00E3568B">
        <w:rPr>
          <w:rFonts w:ascii="Verdana" w:hAnsi="Verdana"/>
          <w:sz w:val="22"/>
          <w:szCs w:val="22"/>
        </w:rPr>
        <w:t xml:space="preserve"> fa qualche attività fisica - percentuale minore in Italia, (valore medio nazionale </w:t>
      </w:r>
      <w:r w:rsidRPr="00E3568B">
        <w:rPr>
          <w:rFonts w:ascii="Verdana" w:hAnsi="Verdana" w:cs="TimesNewRomanPS-BoldMT-OTF"/>
          <w:bCs/>
          <w:sz w:val="22"/>
          <w:szCs w:val="22"/>
        </w:rPr>
        <w:t>29,2</w:t>
      </w:r>
      <w:r w:rsidRPr="00E3568B">
        <w:rPr>
          <w:rFonts w:ascii="Verdana" w:hAnsi="Verdana"/>
          <w:sz w:val="22"/>
          <w:szCs w:val="22"/>
        </w:rPr>
        <w:t>%).</w:t>
      </w:r>
    </w:p>
    <w:p w:rsidR="004847BF" w:rsidRPr="00DC6795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bCs/>
          <w:sz w:val="22"/>
          <w:szCs w:val="22"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 w:cs="Verdana-Bold"/>
          <w:bCs/>
        </w:rPr>
      </w:pPr>
    </w:p>
    <w:p w:rsidR="004847BF" w:rsidRPr="000C5E54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0C5E54">
        <w:rPr>
          <w:rFonts w:ascii="Verdana" w:hAnsi="Verdana"/>
          <w:b/>
        </w:rPr>
        <w:t>Sardegna: la Regione con meno persone economicamente dipendenti</w:t>
      </w:r>
    </w:p>
    <w:p w:rsidR="004847BF" w:rsidRPr="000C5E54" w:rsidRDefault="004847BF" w:rsidP="000C5E54">
      <w:pPr>
        <w:jc w:val="both"/>
        <w:rPr>
          <w:rFonts w:ascii="Verdana" w:hAnsi="Verdana" w:cs="TimesNewRomanPSMT"/>
          <w:i/>
        </w:rPr>
      </w:pPr>
    </w:p>
    <w:p w:rsidR="004847BF" w:rsidRPr="000C5E54" w:rsidRDefault="004847BF" w:rsidP="000C5E54">
      <w:pPr>
        <w:jc w:val="both"/>
        <w:rPr>
          <w:rFonts w:ascii="Verdana" w:hAnsi="Verdana"/>
          <w:u w:val="single"/>
        </w:rPr>
      </w:pPr>
      <w:r w:rsidRPr="000C5E54">
        <w:rPr>
          <w:rFonts w:ascii="Verdana" w:hAnsi="Verdana" w:cs="TimesNewRomanPSMT"/>
          <w:i/>
        </w:rPr>
        <w:t xml:space="preserve">Ma è la Regione dove si verificano </w:t>
      </w:r>
      <w:bookmarkStart w:id="0" w:name="_GoBack"/>
      <w:bookmarkEnd w:id="0"/>
      <w:r w:rsidRPr="000C5E54">
        <w:rPr>
          <w:rFonts w:ascii="Verdana" w:hAnsi="Verdana" w:cs="TimesNewRomanPSMT"/>
          <w:i/>
        </w:rPr>
        <w:t xml:space="preserve">più incidenti domestici </w:t>
      </w:r>
    </w:p>
    <w:p w:rsidR="004847BF" w:rsidRPr="003312EE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-BoldMT-OTF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 w:cs="TimesNewRomanPSMT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 xml:space="preserve">La Sardegna è la Regione con meno residenti economicamente non autonomi (bambini e anziani): infatti presenta il minore </w:t>
      </w:r>
      <w:r w:rsidRPr="00E3568B">
        <w:rPr>
          <w:rFonts w:ascii="Verdana" w:hAnsi="Verdana" w:cs="TimesNewRomanPSMT"/>
          <w:sz w:val="22"/>
          <w:szCs w:val="22"/>
        </w:rPr>
        <w:t>indice di dipendenza (ID), il 47,7%, a fronte di un valore medio nazionale di 53,5%. Tale indice rapporta la quota delle persone teoricamente dipendenti da un punto di vista economico (ossia i più giovani e i più anziani) alle persone in età da lavoro, che si presume debbano sostenerle.</w:t>
      </w: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:rsidR="004847BF" w:rsidRPr="00E3568B" w:rsidRDefault="004847BF" w:rsidP="000C5E54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r w:rsidRPr="00E3568B">
        <w:rPr>
          <w:rFonts w:ascii="Verdana" w:hAnsi="Verdana"/>
          <w:sz w:val="22"/>
          <w:szCs w:val="22"/>
        </w:rPr>
        <w:t>Ma la Sardegna è la Regione dove si verificano più incidenti domestici: infatti presenta il tasso maggiore di Italia per questo tipo di incidente: il 16,8 per 1.000 contro un tasso medio nazionale di 12,2 per 1.000 (anno 2012).</w:t>
      </w:r>
    </w:p>
    <w:p w:rsidR="004847BF" w:rsidRPr="00A27770" w:rsidRDefault="004847BF" w:rsidP="00F077A7">
      <w:pPr>
        <w:autoSpaceDE w:val="0"/>
        <w:autoSpaceDN w:val="0"/>
        <w:adjustRightInd w:val="0"/>
        <w:jc w:val="both"/>
        <w:rPr>
          <w:rFonts w:ascii="Verdana" w:hAnsi="Verdana" w:cs="TimesNewRomanPSMT"/>
          <w:b/>
          <w:sz w:val="22"/>
          <w:szCs w:val="22"/>
          <w:u w:val="single"/>
        </w:rPr>
      </w:pPr>
    </w:p>
    <w:p w:rsidR="004847BF" w:rsidRDefault="004847BF" w:rsidP="00F077A7">
      <w:pPr>
        <w:autoSpaceDE w:val="0"/>
        <w:autoSpaceDN w:val="0"/>
        <w:adjustRightInd w:val="0"/>
        <w:jc w:val="both"/>
        <w:rPr>
          <w:rFonts w:ascii="Verdana" w:hAnsi="Verdana"/>
          <w:b/>
          <w:sz w:val="22"/>
          <w:szCs w:val="22"/>
        </w:rPr>
      </w:pPr>
    </w:p>
    <w:p w:rsidR="004847BF" w:rsidRPr="00011D39" w:rsidRDefault="004847BF" w:rsidP="00F077A7">
      <w:pPr>
        <w:autoSpaceDE w:val="0"/>
        <w:autoSpaceDN w:val="0"/>
        <w:adjustRightInd w:val="0"/>
        <w:jc w:val="both"/>
      </w:pPr>
    </w:p>
    <w:sectPr w:rsidR="004847BF" w:rsidRPr="00011D39" w:rsidSect="00253B5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49C" w:rsidRDefault="0043249C">
      <w:r>
        <w:separator/>
      </w:r>
    </w:p>
  </w:endnote>
  <w:endnote w:type="continuationSeparator" w:id="0">
    <w:p w:rsidR="0043249C" w:rsidRDefault="0043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-OTF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ItalicMT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49C" w:rsidRDefault="0043249C">
      <w:r>
        <w:separator/>
      </w:r>
    </w:p>
  </w:footnote>
  <w:footnote w:type="continuationSeparator" w:id="0">
    <w:p w:rsidR="0043249C" w:rsidRDefault="00432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BF" w:rsidRPr="00475A61" w:rsidRDefault="004B6C27" w:rsidP="00475A61">
    <w:pPr>
      <w:pStyle w:val="Intestazione"/>
    </w:pPr>
    <w:r>
      <w:rPr>
        <w:rFonts w:ascii="Verdana" w:hAnsi="Verdana"/>
        <w:noProof/>
        <w:sz w:val="22"/>
      </w:rPr>
      <w:drawing>
        <wp:inline distT="0" distB="0" distL="0" distR="0">
          <wp:extent cx="1438275" cy="714375"/>
          <wp:effectExtent l="0" t="0" r="9525" b="9525"/>
          <wp:docPr id="1" name="Immagine 1" descr="osservasalut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osservasalut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7BF">
      <w:rPr>
        <w:rFonts w:ascii="Verdana" w:hAnsi="Verdana"/>
        <w:sz w:val="22"/>
      </w:rPr>
      <w:tab/>
    </w:r>
    <w:r w:rsidR="004847BF">
      <w:rPr>
        <w:rFonts w:ascii="Verdana" w:hAnsi="Verdana"/>
        <w:sz w:val="22"/>
      </w:rPr>
      <w:tab/>
    </w:r>
    <w:r>
      <w:rPr>
        <w:rFonts w:ascii="Verdana" w:hAnsi="Verdana"/>
        <w:noProof/>
        <w:sz w:val="22"/>
      </w:rPr>
      <w:drawing>
        <wp:inline distT="0" distB="0" distL="0" distR="0">
          <wp:extent cx="1676400" cy="69532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61"/>
    <w:rsid w:val="00011D39"/>
    <w:rsid w:val="000165D6"/>
    <w:rsid w:val="00016C09"/>
    <w:rsid w:val="00017D9A"/>
    <w:rsid w:val="00042863"/>
    <w:rsid w:val="00044B0A"/>
    <w:rsid w:val="00045EF5"/>
    <w:rsid w:val="00047779"/>
    <w:rsid w:val="00054ECC"/>
    <w:rsid w:val="00065488"/>
    <w:rsid w:val="0006626B"/>
    <w:rsid w:val="00076A57"/>
    <w:rsid w:val="00077C2F"/>
    <w:rsid w:val="00087C26"/>
    <w:rsid w:val="00087EC4"/>
    <w:rsid w:val="00091DA9"/>
    <w:rsid w:val="000955C3"/>
    <w:rsid w:val="000B086A"/>
    <w:rsid w:val="000B1D54"/>
    <w:rsid w:val="000B2EE2"/>
    <w:rsid w:val="000C4D77"/>
    <w:rsid w:val="000C5E54"/>
    <w:rsid w:val="00113C0B"/>
    <w:rsid w:val="00132B02"/>
    <w:rsid w:val="00142637"/>
    <w:rsid w:val="00146491"/>
    <w:rsid w:val="001542D1"/>
    <w:rsid w:val="00155A2E"/>
    <w:rsid w:val="00160372"/>
    <w:rsid w:val="001662FA"/>
    <w:rsid w:val="00182F4B"/>
    <w:rsid w:val="001B385C"/>
    <w:rsid w:val="001B6FB1"/>
    <w:rsid w:val="001E66E6"/>
    <w:rsid w:val="001F0063"/>
    <w:rsid w:val="001F08B3"/>
    <w:rsid w:val="002140FD"/>
    <w:rsid w:val="00215287"/>
    <w:rsid w:val="00217265"/>
    <w:rsid w:val="002221A3"/>
    <w:rsid w:val="00223444"/>
    <w:rsid w:val="00227BE2"/>
    <w:rsid w:val="00236B07"/>
    <w:rsid w:val="00240B1A"/>
    <w:rsid w:val="00243A53"/>
    <w:rsid w:val="0025162D"/>
    <w:rsid w:val="00251E5C"/>
    <w:rsid w:val="00253B57"/>
    <w:rsid w:val="002543C2"/>
    <w:rsid w:val="002614FA"/>
    <w:rsid w:val="00276833"/>
    <w:rsid w:val="002C3428"/>
    <w:rsid w:val="002C557A"/>
    <w:rsid w:val="002C5DBC"/>
    <w:rsid w:val="002D4ADD"/>
    <w:rsid w:val="002D5034"/>
    <w:rsid w:val="002F3797"/>
    <w:rsid w:val="00300796"/>
    <w:rsid w:val="0030191B"/>
    <w:rsid w:val="00303100"/>
    <w:rsid w:val="0030497F"/>
    <w:rsid w:val="003069D7"/>
    <w:rsid w:val="003312EE"/>
    <w:rsid w:val="003322A2"/>
    <w:rsid w:val="00335042"/>
    <w:rsid w:val="00351169"/>
    <w:rsid w:val="00352554"/>
    <w:rsid w:val="00360E83"/>
    <w:rsid w:val="0036424D"/>
    <w:rsid w:val="003709D0"/>
    <w:rsid w:val="00373BD3"/>
    <w:rsid w:val="00392105"/>
    <w:rsid w:val="003957EB"/>
    <w:rsid w:val="003A5401"/>
    <w:rsid w:val="003B019A"/>
    <w:rsid w:val="003B6B7C"/>
    <w:rsid w:val="003C7002"/>
    <w:rsid w:val="003C78EA"/>
    <w:rsid w:val="003D0755"/>
    <w:rsid w:val="003D7E17"/>
    <w:rsid w:val="003E545E"/>
    <w:rsid w:val="003E6A8E"/>
    <w:rsid w:val="004010EA"/>
    <w:rsid w:val="0040695F"/>
    <w:rsid w:val="0042706A"/>
    <w:rsid w:val="00431B1C"/>
    <w:rsid w:val="0043249C"/>
    <w:rsid w:val="00433B4A"/>
    <w:rsid w:val="00436571"/>
    <w:rsid w:val="00454EB5"/>
    <w:rsid w:val="0045724B"/>
    <w:rsid w:val="004621CF"/>
    <w:rsid w:val="00462E57"/>
    <w:rsid w:val="00467C1D"/>
    <w:rsid w:val="00472D1C"/>
    <w:rsid w:val="00475A61"/>
    <w:rsid w:val="00476109"/>
    <w:rsid w:val="004777A1"/>
    <w:rsid w:val="004847BF"/>
    <w:rsid w:val="004869CC"/>
    <w:rsid w:val="004A2D3B"/>
    <w:rsid w:val="004B2FF2"/>
    <w:rsid w:val="004B6C27"/>
    <w:rsid w:val="004C5E69"/>
    <w:rsid w:val="004D06D4"/>
    <w:rsid w:val="004E1780"/>
    <w:rsid w:val="004E5BE1"/>
    <w:rsid w:val="00513E1B"/>
    <w:rsid w:val="0054615B"/>
    <w:rsid w:val="00551A91"/>
    <w:rsid w:val="00560680"/>
    <w:rsid w:val="005950EE"/>
    <w:rsid w:val="005A020D"/>
    <w:rsid w:val="005A3220"/>
    <w:rsid w:val="005B18A3"/>
    <w:rsid w:val="005D1CD7"/>
    <w:rsid w:val="005D20D7"/>
    <w:rsid w:val="005F647D"/>
    <w:rsid w:val="00633057"/>
    <w:rsid w:val="00640640"/>
    <w:rsid w:val="006445E0"/>
    <w:rsid w:val="0065176E"/>
    <w:rsid w:val="00664D05"/>
    <w:rsid w:val="00665988"/>
    <w:rsid w:val="0067519E"/>
    <w:rsid w:val="0068748D"/>
    <w:rsid w:val="0069636C"/>
    <w:rsid w:val="00696FC7"/>
    <w:rsid w:val="006A1096"/>
    <w:rsid w:val="006A6C28"/>
    <w:rsid w:val="006B672E"/>
    <w:rsid w:val="006D52A2"/>
    <w:rsid w:val="006D59C3"/>
    <w:rsid w:val="00713B22"/>
    <w:rsid w:val="0072319A"/>
    <w:rsid w:val="0073616F"/>
    <w:rsid w:val="007361AF"/>
    <w:rsid w:val="00741B95"/>
    <w:rsid w:val="00756B79"/>
    <w:rsid w:val="00757000"/>
    <w:rsid w:val="00762278"/>
    <w:rsid w:val="00766F78"/>
    <w:rsid w:val="00770149"/>
    <w:rsid w:val="00776490"/>
    <w:rsid w:val="00780D5E"/>
    <w:rsid w:val="0078215A"/>
    <w:rsid w:val="00794766"/>
    <w:rsid w:val="007951B4"/>
    <w:rsid w:val="007968C6"/>
    <w:rsid w:val="007B1A93"/>
    <w:rsid w:val="007B6E7B"/>
    <w:rsid w:val="007D1855"/>
    <w:rsid w:val="007F07F8"/>
    <w:rsid w:val="007F4BA1"/>
    <w:rsid w:val="00821A69"/>
    <w:rsid w:val="008350FA"/>
    <w:rsid w:val="00863C21"/>
    <w:rsid w:val="0086778A"/>
    <w:rsid w:val="00870234"/>
    <w:rsid w:val="0087785B"/>
    <w:rsid w:val="00877E4E"/>
    <w:rsid w:val="0089380E"/>
    <w:rsid w:val="008D5A01"/>
    <w:rsid w:val="008E4EC8"/>
    <w:rsid w:val="00900817"/>
    <w:rsid w:val="00904ADF"/>
    <w:rsid w:val="00906ABE"/>
    <w:rsid w:val="009078ED"/>
    <w:rsid w:val="00941C9D"/>
    <w:rsid w:val="00944550"/>
    <w:rsid w:val="00951065"/>
    <w:rsid w:val="00956C61"/>
    <w:rsid w:val="00957D3A"/>
    <w:rsid w:val="00965850"/>
    <w:rsid w:val="00971A14"/>
    <w:rsid w:val="0097491C"/>
    <w:rsid w:val="00975038"/>
    <w:rsid w:val="00975802"/>
    <w:rsid w:val="009A17D8"/>
    <w:rsid w:val="009B0480"/>
    <w:rsid w:val="009C2160"/>
    <w:rsid w:val="009D00BA"/>
    <w:rsid w:val="009E5ED6"/>
    <w:rsid w:val="009F0C6F"/>
    <w:rsid w:val="009F198E"/>
    <w:rsid w:val="009F4162"/>
    <w:rsid w:val="009F54E5"/>
    <w:rsid w:val="00A0182A"/>
    <w:rsid w:val="00A11628"/>
    <w:rsid w:val="00A1512B"/>
    <w:rsid w:val="00A27770"/>
    <w:rsid w:val="00A348C2"/>
    <w:rsid w:val="00A34F97"/>
    <w:rsid w:val="00A35EDD"/>
    <w:rsid w:val="00A44220"/>
    <w:rsid w:val="00A444D4"/>
    <w:rsid w:val="00A51E23"/>
    <w:rsid w:val="00A52524"/>
    <w:rsid w:val="00A75486"/>
    <w:rsid w:val="00A936ED"/>
    <w:rsid w:val="00A939D1"/>
    <w:rsid w:val="00A95C4B"/>
    <w:rsid w:val="00AA0854"/>
    <w:rsid w:val="00AA10D7"/>
    <w:rsid w:val="00AA25E2"/>
    <w:rsid w:val="00AA604E"/>
    <w:rsid w:val="00AB7F80"/>
    <w:rsid w:val="00AC32D7"/>
    <w:rsid w:val="00AD07CE"/>
    <w:rsid w:val="00AD132B"/>
    <w:rsid w:val="00AD64C5"/>
    <w:rsid w:val="00AF0467"/>
    <w:rsid w:val="00AF1C29"/>
    <w:rsid w:val="00AF7990"/>
    <w:rsid w:val="00B0071A"/>
    <w:rsid w:val="00B12392"/>
    <w:rsid w:val="00B230B6"/>
    <w:rsid w:val="00B267CB"/>
    <w:rsid w:val="00B46FEB"/>
    <w:rsid w:val="00B60240"/>
    <w:rsid w:val="00B73452"/>
    <w:rsid w:val="00B921A5"/>
    <w:rsid w:val="00B92B40"/>
    <w:rsid w:val="00BA00FE"/>
    <w:rsid w:val="00BA7116"/>
    <w:rsid w:val="00BB51CC"/>
    <w:rsid w:val="00BB6D4A"/>
    <w:rsid w:val="00BC59DA"/>
    <w:rsid w:val="00BD08C2"/>
    <w:rsid w:val="00BD47D3"/>
    <w:rsid w:val="00BE119D"/>
    <w:rsid w:val="00BF2D9B"/>
    <w:rsid w:val="00BF4AFB"/>
    <w:rsid w:val="00C3263C"/>
    <w:rsid w:val="00C415D8"/>
    <w:rsid w:val="00C54015"/>
    <w:rsid w:val="00C547B5"/>
    <w:rsid w:val="00C818A2"/>
    <w:rsid w:val="00C83786"/>
    <w:rsid w:val="00C86116"/>
    <w:rsid w:val="00CA16C2"/>
    <w:rsid w:val="00CC0804"/>
    <w:rsid w:val="00CC6025"/>
    <w:rsid w:val="00CD2903"/>
    <w:rsid w:val="00CD6AE8"/>
    <w:rsid w:val="00CE024D"/>
    <w:rsid w:val="00D17FCB"/>
    <w:rsid w:val="00D251B3"/>
    <w:rsid w:val="00D2760B"/>
    <w:rsid w:val="00D3249D"/>
    <w:rsid w:val="00D32D41"/>
    <w:rsid w:val="00D41143"/>
    <w:rsid w:val="00D454A6"/>
    <w:rsid w:val="00D77912"/>
    <w:rsid w:val="00DA1884"/>
    <w:rsid w:val="00DA6C86"/>
    <w:rsid w:val="00DB0D98"/>
    <w:rsid w:val="00DB10C1"/>
    <w:rsid w:val="00DB2F21"/>
    <w:rsid w:val="00DC6795"/>
    <w:rsid w:val="00DE07C0"/>
    <w:rsid w:val="00DF5950"/>
    <w:rsid w:val="00E01FAC"/>
    <w:rsid w:val="00E15829"/>
    <w:rsid w:val="00E15F37"/>
    <w:rsid w:val="00E24E44"/>
    <w:rsid w:val="00E277B9"/>
    <w:rsid w:val="00E309BA"/>
    <w:rsid w:val="00E33D50"/>
    <w:rsid w:val="00E354DD"/>
    <w:rsid w:val="00E3568B"/>
    <w:rsid w:val="00E44301"/>
    <w:rsid w:val="00E50ADA"/>
    <w:rsid w:val="00E532E5"/>
    <w:rsid w:val="00E5610C"/>
    <w:rsid w:val="00E5775C"/>
    <w:rsid w:val="00E60E93"/>
    <w:rsid w:val="00E76BC9"/>
    <w:rsid w:val="00E81404"/>
    <w:rsid w:val="00E906F0"/>
    <w:rsid w:val="00E92C04"/>
    <w:rsid w:val="00E93A5C"/>
    <w:rsid w:val="00E943F4"/>
    <w:rsid w:val="00E94658"/>
    <w:rsid w:val="00E960A3"/>
    <w:rsid w:val="00EA28CF"/>
    <w:rsid w:val="00EA39E4"/>
    <w:rsid w:val="00EB54B9"/>
    <w:rsid w:val="00EB5684"/>
    <w:rsid w:val="00EB5DB3"/>
    <w:rsid w:val="00EB7764"/>
    <w:rsid w:val="00EC1CB0"/>
    <w:rsid w:val="00ED01B6"/>
    <w:rsid w:val="00ED7393"/>
    <w:rsid w:val="00EF5F91"/>
    <w:rsid w:val="00F025AF"/>
    <w:rsid w:val="00F077A7"/>
    <w:rsid w:val="00F23F7A"/>
    <w:rsid w:val="00F70F81"/>
    <w:rsid w:val="00FA3402"/>
    <w:rsid w:val="00FB063A"/>
    <w:rsid w:val="00FB1734"/>
    <w:rsid w:val="00FB616F"/>
    <w:rsid w:val="00FB640A"/>
    <w:rsid w:val="00FC6656"/>
    <w:rsid w:val="00FC68CA"/>
    <w:rsid w:val="00FC6C2F"/>
    <w:rsid w:val="00FE0D70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78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A44220"/>
    <w:pPr>
      <w:keepNext/>
      <w:autoSpaceDE w:val="0"/>
      <w:autoSpaceDN w:val="0"/>
      <w:adjustRightInd w:val="0"/>
      <w:jc w:val="both"/>
      <w:outlineLvl w:val="1"/>
    </w:pPr>
    <w:rPr>
      <w:rFonts w:ascii="Verdana" w:hAnsi="Verdana"/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BC59DA"/>
    <w:rPr>
      <w:rFonts w:ascii="Cambria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75A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C59DA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75A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BC59DA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475A61"/>
    <w:pPr>
      <w:ind w:left="540" w:right="1718"/>
      <w:jc w:val="center"/>
    </w:pPr>
    <w:rPr>
      <w:b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BC59DA"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73616F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BC59DA"/>
    <w:rPr>
      <w:rFonts w:cs="Times New Roman"/>
      <w:sz w:val="24"/>
      <w:szCs w:val="24"/>
    </w:rPr>
  </w:style>
  <w:style w:type="paragraph" w:styleId="NormaleWeb">
    <w:name w:val="Normal (Web)"/>
    <w:basedOn w:val="Normale"/>
    <w:uiPriority w:val="99"/>
    <w:rsid w:val="0035116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99"/>
    <w:qFormat/>
    <w:rsid w:val="00351169"/>
    <w:rPr>
      <w:rFonts w:cs="Times New Roman"/>
      <w:b/>
      <w:bCs/>
    </w:rPr>
  </w:style>
  <w:style w:type="paragraph" w:styleId="Testocommento">
    <w:name w:val="annotation text"/>
    <w:basedOn w:val="Normale"/>
    <w:link w:val="TestocommentoCarattere"/>
    <w:uiPriority w:val="99"/>
    <w:semiHidden/>
    <w:rsid w:val="0039210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392105"/>
    <w:rPr>
      <w:rFonts w:cs="Times New Roman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rsid w:val="00392105"/>
    <w:rPr>
      <w:rFonts w:cs="Times New Roman"/>
      <w:sz w:val="16"/>
    </w:rPr>
  </w:style>
  <w:style w:type="paragraph" w:styleId="Testofumetto">
    <w:name w:val="Balloon Text"/>
    <w:basedOn w:val="Normale"/>
    <w:link w:val="TestofumettoCarattere"/>
    <w:uiPriority w:val="99"/>
    <w:semiHidden/>
    <w:rsid w:val="0039210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C59DA"/>
    <w:rPr>
      <w:rFonts w:cs="Times New Roman"/>
      <w:sz w:val="2"/>
    </w:rPr>
  </w:style>
  <w:style w:type="character" w:customStyle="1" w:styleId="CarattereCarattere1">
    <w:name w:val="Carattere Carattere1"/>
    <w:uiPriority w:val="99"/>
    <w:semiHidden/>
    <w:locked/>
    <w:rsid w:val="00B921A5"/>
    <w:rPr>
      <w:lang w:val="it-IT" w:eastAsia="it-IT"/>
    </w:rPr>
  </w:style>
  <w:style w:type="character" w:customStyle="1" w:styleId="CarattereCarattere11">
    <w:name w:val="Carattere Carattere11"/>
    <w:uiPriority w:val="99"/>
    <w:semiHidden/>
    <w:locked/>
    <w:rsid w:val="000B2EE2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78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A44220"/>
    <w:pPr>
      <w:keepNext/>
      <w:autoSpaceDE w:val="0"/>
      <w:autoSpaceDN w:val="0"/>
      <w:adjustRightInd w:val="0"/>
      <w:jc w:val="both"/>
      <w:outlineLvl w:val="1"/>
    </w:pPr>
    <w:rPr>
      <w:rFonts w:ascii="Verdana" w:hAnsi="Verdana"/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BC59DA"/>
    <w:rPr>
      <w:rFonts w:ascii="Cambria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75A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C59DA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75A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BC59DA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475A61"/>
    <w:pPr>
      <w:ind w:left="540" w:right="1718"/>
      <w:jc w:val="center"/>
    </w:pPr>
    <w:rPr>
      <w:b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BC59DA"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73616F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BC59DA"/>
    <w:rPr>
      <w:rFonts w:cs="Times New Roman"/>
      <w:sz w:val="24"/>
      <w:szCs w:val="24"/>
    </w:rPr>
  </w:style>
  <w:style w:type="paragraph" w:styleId="NormaleWeb">
    <w:name w:val="Normal (Web)"/>
    <w:basedOn w:val="Normale"/>
    <w:uiPriority w:val="99"/>
    <w:rsid w:val="0035116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99"/>
    <w:qFormat/>
    <w:rsid w:val="00351169"/>
    <w:rPr>
      <w:rFonts w:cs="Times New Roman"/>
      <w:b/>
      <w:bCs/>
    </w:rPr>
  </w:style>
  <w:style w:type="paragraph" w:styleId="Testocommento">
    <w:name w:val="annotation text"/>
    <w:basedOn w:val="Normale"/>
    <w:link w:val="TestocommentoCarattere"/>
    <w:uiPriority w:val="99"/>
    <w:semiHidden/>
    <w:rsid w:val="0039210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392105"/>
    <w:rPr>
      <w:rFonts w:cs="Times New Roman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rsid w:val="00392105"/>
    <w:rPr>
      <w:rFonts w:cs="Times New Roman"/>
      <w:sz w:val="16"/>
    </w:rPr>
  </w:style>
  <w:style w:type="paragraph" w:styleId="Testofumetto">
    <w:name w:val="Balloon Text"/>
    <w:basedOn w:val="Normale"/>
    <w:link w:val="TestofumettoCarattere"/>
    <w:uiPriority w:val="99"/>
    <w:semiHidden/>
    <w:rsid w:val="0039210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C59DA"/>
    <w:rPr>
      <w:rFonts w:cs="Times New Roman"/>
      <w:sz w:val="2"/>
    </w:rPr>
  </w:style>
  <w:style w:type="character" w:customStyle="1" w:styleId="CarattereCarattere1">
    <w:name w:val="Carattere Carattere1"/>
    <w:uiPriority w:val="99"/>
    <w:semiHidden/>
    <w:locked/>
    <w:rsid w:val="00B921A5"/>
    <w:rPr>
      <w:lang w:val="it-IT" w:eastAsia="it-IT"/>
    </w:rPr>
  </w:style>
  <w:style w:type="character" w:customStyle="1" w:styleId="CarattereCarattere11">
    <w:name w:val="Carattere Carattere11"/>
    <w:uiPriority w:val="99"/>
    <w:semiHidden/>
    <w:locked/>
    <w:rsid w:val="000B2EE2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13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2345</Words>
  <Characters>13372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/>
  <LinksUpToDate>false</LinksUpToDate>
  <CharactersWithSpaces>15686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Paola Mariano</dc:creator>
  <cp:lastModifiedBy>Nicola Cerbino</cp:lastModifiedBy>
  <cp:revision>2</cp:revision>
  <cp:lastPrinted>2006-02-13T18:11:00Z</cp:lastPrinted>
  <dcterms:created xsi:type="dcterms:W3CDTF">2014-04-13T19:11:00Z</dcterms:created>
  <dcterms:modified xsi:type="dcterms:W3CDTF">2014-04-13T19:11:00Z</dcterms:modified>
</cp:coreProperties>
</file>